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A13C" w14:textId="24B1C6CA" w:rsidR="006E6194" w:rsidRDefault="006E6194" w:rsidP="00BF2696">
      <w:pPr>
        <w:pStyle w:val="Heading1"/>
      </w:pPr>
      <w:r>
        <w:rPr>
          <w:noProof/>
        </w:rPr>
        <w:drawing>
          <wp:anchor distT="0" distB="0" distL="114300" distR="114300" simplePos="0" relativeHeight="251671552" behindDoc="1" locked="0" layoutInCell="1" allowOverlap="1" wp14:anchorId="2FA33CD1" wp14:editId="13D6E958">
            <wp:simplePos x="0" y="0"/>
            <wp:positionH relativeFrom="column">
              <wp:posOffset>-887730</wp:posOffset>
            </wp:positionH>
            <wp:positionV relativeFrom="paragraph">
              <wp:posOffset>-1115695</wp:posOffset>
            </wp:positionV>
            <wp:extent cx="7550150" cy="10687050"/>
            <wp:effectExtent l="0" t="0" r="0" b="0"/>
            <wp:wrapNone/>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0150" cy="10687050"/>
                    </a:xfrm>
                    <a:prstGeom prst="rect">
                      <a:avLst/>
                    </a:prstGeom>
                  </pic:spPr>
                </pic:pic>
              </a:graphicData>
            </a:graphic>
            <wp14:sizeRelH relativeFrom="margin">
              <wp14:pctWidth>0</wp14:pctWidth>
            </wp14:sizeRelH>
            <wp14:sizeRelV relativeFrom="margin">
              <wp14:pctHeight>0</wp14:pctHeight>
            </wp14:sizeRelV>
          </wp:anchor>
        </w:drawing>
      </w:r>
    </w:p>
    <w:p w14:paraId="2C7B8DF4" w14:textId="77777777" w:rsidR="006E6194" w:rsidRDefault="006E6194" w:rsidP="00BF2696">
      <w:pPr>
        <w:pStyle w:val="Heading1"/>
      </w:pPr>
    </w:p>
    <w:p w14:paraId="5177E52B" w14:textId="453F33C4" w:rsidR="00BF2696" w:rsidRPr="00180128" w:rsidRDefault="00BF2696" w:rsidP="00BF2696">
      <w:pPr>
        <w:pStyle w:val="Heading1"/>
        <w:rPr>
          <w:color w:val="FFFFFF" w:themeColor="background1"/>
        </w:rPr>
      </w:pPr>
      <w:r w:rsidRPr="00180128">
        <w:rPr>
          <w:color w:val="FFFFFF" w:themeColor="background1"/>
        </w:rPr>
        <w:t>PFAS NEMP Supporting Document</w:t>
      </w:r>
    </w:p>
    <w:p w14:paraId="28677F26" w14:textId="6E35CA13" w:rsidR="00BF2696" w:rsidRPr="00180128" w:rsidRDefault="00BF2696" w:rsidP="006E6194">
      <w:pPr>
        <w:pStyle w:val="Subtitle"/>
        <w:rPr>
          <w:color w:val="FFFFFF" w:themeColor="background1"/>
          <w:sz w:val="40"/>
          <w:szCs w:val="40"/>
        </w:rPr>
      </w:pPr>
      <w:r w:rsidRPr="00180128">
        <w:rPr>
          <w:color w:val="FFFFFF" w:themeColor="background1"/>
          <w:sz w:val="40"/>
          <w:szCs w:val="40"/>
        </w:rPr>
        <w:t xml:space="preserve">Human health soil guideline values for PFOS + </w:t>
      </w:r>
      <w:proofErr w:type="spellStart"/>
      <w:r w:rsidRPr="00180128">
        <w:rPr>
          <w:color w:val="FFFFFF" w:themeColor="background1"/>
          <w:sz w:val="40"/>
          <w:szCs w:val="40"/>
        </w:rPr>
        <w:t>PFHxS</w:t>
      </w:r>
      <w:proofErr w:type="spellEnd"/>
      <w:r w:rsidRPr="00180128">
        <w:rPr>
          <w:color w:val="FFFFFF" w:themeColor="background1"/>
          <w:sz w:val="40"/>
          <w:szCs w:val="40"/>
        </w:rPr>
        <w:t xml:space="preserve"> and PFOA:</w:t>
      </w:r>
      <w:r w:rsidR="006E6194" w:rsidRPr="00180128">
        <w:rPr>
          <w:color w:val="FFFFFF" w:themeColor="background1"/>
          <w:sz w:val="40"/>
          <w:szCs w:val="40"/>
        </w:rPr>
        <w:t xml:space="preserve"> </w:t>
      </w:r>
      <w:r w:rsidRPr="00180128">
        <w:rPr>
          <w:color w:val="FFFFFF" w:themeColor="background1"/>
          <w:sz w:val="40"/>
          <w:szCs w:val="40"/>
        </w:rPr>
        <w:t>Derivation of the human health investigation levels for soil for ‘residential with garden/accessible soil’ (HIL A) and a review of relevant soil to plant transfer factors</w:t>
      </w:r>
    </w:p>
    <w:p w14:paraId="397B4533" w14:textId="77777777" w:rsidR="006E6194" w:rsidRDefault="006E6194" w:rsidP="006E6194">
      <w:pPr>
        <w:pStyle w:val="AuthorOrganisationAffiliation"/>
      </w:pPr>
    </w:p>
    <w:p w14:paraId="25859339" w14:textId="20961A4A" w:rsidR="00BF2696" w:rsidRDefault="00BF2696" w:rsidP="006E6194">
      <w:pPr>
        <w:pStyle w:val="AuthorOrganisationAffiliation"/>
      </w:pPr>
      <w:r>
        <w:t>National Chemicals Working Group of the Heads of EPAs Australia and New Zealand</w:t>
      </w:r>
    </w:p>
    <w:p w14:paraId="0B625EFD" w14:textId="01883CAE" w:rsidR="004636DE" w:rsidRPr="004636DE" w:rsidRDefault="00BF2696" w:rsidP="006E6194">
      <w:pPr>
        <w:pStyle w:val="AuthorOrganisationAffiliation"/>
      </w:pPr>
      <w:r>
        <w:t>September 2022</w:t>
      </w:r>
    </w:p>
    <w:p w14:paraId="0342FC1C" w14:textId="46BC79A4" w:rsidR="00764D6A" w:rsidRDefault="00764D6A" w:rsidP="004636DE">
      <w:pPr>
        <w:pStyle w:val="Heading1"/>
      </w:pPr>
    </w:p>
    <w:p w14:paraId="540EC14D" w14:textId="05EEFFA8" w:rsidR="00DD0226" w:rsidRDefault="00DD0226" w:rsidP="00DD0226"/>
    <w:p w14:paraId="563FAC6B" w14:textId="7ED84928" w:rsidR="00DD0226" w:rsidRDefault="00DD0226" w:rsidP="00DD0226"/>
    <w:p w14:paraId="4883D3C1" w14:textId="0CC44D12" w:rsidR="00DD0226" w:rsidRDefault="00DD0226" w:rsidP="00DD0226"/>
    <w:p w14:paraId="5DD8BECC" w14:textId="7167EDED" w:rsidR="00DD0226" w:rsidRDefault="00DD0226" w:rsidP="00DD0226"/>
    <w:p w14:paraId="3B1F8480" w14:textId="2F7AC2FD" w:rsidR="00DD0226" w:rsidRDefault="00DD0226" w:rsidP="00DD0226"/>
    <w:p w14:paraId="3E27A44D" w14:textId="77777777" w:rsidR="000C038C" w:rsidRDefault="000C038C" w:rsidP="00DD0226">
      <w:pPr>
        <w:sectPr w:rsidR="000C038C" w:rsidSect="003C6DD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pPr>
    </w:p>
    <w:p w14:paraId="3BCE7086" w14:textId="7FAFE0E7" w:rsidR="00764D6A" w:rsidRDefault="00E91D72" w:rsidP="00C95785">
      <w:pPr>
        <w:pStyle w:val="Normalsmall"/>
        <w:pageBreakBefore/>
      </w:pPr>
      <w:r>
        <w:lastRenderedPageBreak/>
        <w:t xml:space="preserve">© </w:t>
      </w:r>
      <w:r w:rsidR="00AE4F1A" w:rsidRPr="00AE4F1A">
        <w:t xml:space="preserve">Copyright Commonwealth of Australia and each Australian State and Territory that has endorsed this version of the PFAS NEMP </w:t>
      </w:r>
      <w:r w:rsidR="00B97E61">
        <w:t>202</w:t>
      </w:r>
      <w:r w:rsidR="00176594">
        <w:t>2</w:t>
      </w:r>
    </w:p>
    <w:p w14:paraId="79BFA0EA" w14:textId="6D240D6D" w:rsidR="00764D6A" w:rsidRDefault="00E91D72">
      <w:pPr>
        <w:pStyle w:val="Normalsmall"/>
        <w:rPr>
          <w:rStyle w:val="Strong"/>
        </w:rPr>
      </w:pPr>
      <w:r>
        <w:rPr>
          <w:rStyle w:val="Strong"/>
        </w:rPr>
        <w:t>Ownership of intellectual property rights</w:t>
      </w:r>
    </w:p>
    <w:p w14:paraId="478D38DA" w14:textId="3A018D09" w:rsidR="00764D6A" w:rsidRDefault="00E91D72">
      <w:pPr>
        <w:pStyle w:val="Normalsmall"/>
      </w:pPr>
      <w:r>
        <w:t>Unless otherwise noted, copyright (and any other intellectual property rights) in this publication is owned by the Commonwealth of Australia (referred to as the Commonwealth)</w:t>
      </w:r>
      <w:r w:rsidR="00AB1845" w:rsidRPr="00AB1845">
        <w:t xml:space="preserve"> and each Australian State and Territory that has endorsed this version of the PFAS NEMP, 2022</w:t>
      </w:r>
      <w:r>
        <w:t>.</w:t>
      </w:r>
    </w:p>
    <w:p w14:paraId="0FCAE92D" w14:textId="77777777" w:rsidR="00764D6A" w:rsidRDefault="00E91D72">
      <w:pPr>
        <w:pStyle w:val="Normalsmall"/>
        <w:rPr>
          <w:rStyle w:val="Strong"/>
        </w:rPr>
      </w:pPr>
      <w:r>
        <w:rPr>
          <w:rStyle w:val="Strong"/>
        </w:rPr>
        <w:t>Creative Commons licence</w:t>
      </w:r>
    </w:p>
    <w:p w14:paraId="76601EFD" w14:textId="424F94F3" w:rsidR="00764D6A" w:rsidRDefault="00A67C55">
      <w:pPr>
        <w:pStyle w:val="Normalsmall"/>
      </w:pPr>
      <w:bookmarkStart w:id="0" w:name="_Hlk112681539"/>
      <w:r w:rsidRPr="00A67C55">
        <w:t>PFAS National Environmental Management Plan Version 3.0 is licensed by the Commonwealth of Australia and each Australian State and Territory that has endorsed this version of the PFAS NEMP, for use under</w:t>
      </w:r>
      <w:r>
        <w:t xml:space="preserve"> </w:t>
      </w:r>
      <w:r w:rsidR="00E91D72">
        <w:t xml:space="preserve">a </w:t>
      </w:r>
      <w:hyperlink r:id="rId18" w:history="1">
        <w:r w:rsidR="00E91D72">
          <w:rPr>
            <w:rStyle w:val="Hyperlink"/>
          </w:rPr>
          <w:t>Creative Commons Attribution 4.0 International Licence</w:t>
        </w:r>
      </w:hyperlink>
      <w:r w:rsidR="00E91D72">
        <w:t xml:space="preserve"> except content supplied by third parties, logos and the Commonwealth Coat of Arms.</w:t>
      </w:r>
    </w:p>
    <w:p w14:paraId="7D490EDC" w14:textId="04FE8EA9" w:rsidR="00E12815" w:rsidRDefault="00E91D72">
      <w:pPr>
        <w:pStyle w:val="Normalsmall"/>
      </w:pPr>
      <w:bookmarkStart w:id="1" w:name="_Hlk112681332"/>
      <w:bookmarkEnd w:id="0"/>
      <w:r>
        <w:t xml:space="preserve">Inquiries about the licence and any use of this document should be emailed to </w:t>
      </w:r>
      <w:hyperlink r:id="rId19" w:history="1">
        <w:r w:rsidR="00E12815" w:rsidRPr="006962D1">
          <w:rPr>
            <w:rStyle w:val="Hyperlink"/>
          </w:rPr>
          <w:t>copyright@dcceew.gov.au</w:t>
        </w:r>
      </w:hyperlink>
      <w:r w:rsidR="00180128" w:rsidRPr="00180128">
        <w:t>.</w:t>
      </w:r>
    </w:p>
    <w:bookmarkEnd w:id="1"/>
    <w:p w14:paraId="528855B3" w14:textId="14C8FAC5" w:rsidR="00764D6A" w:rsidRDefault="00E91D72">
      <w:pPr>
        <w:pStyle w:val="Normalsmall"/>
      </w:pPr>
      <w:r>
        <w:rPr>
          <w:noProof/>
          <w:lang w:eastAsia="en-AU"/>
        </w:rPr>
        <w:drawing>
          <wp:inline distT="0" distB="0" distL="0" distR="0" wp14:anchorId="54B90F86" wp14:editId="5A9562A4">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34C8BB1" w14:textId="77777777" w:rsidR="00764D6A" w:rsidRDefault="00E91D72">
      <w:pPr>
        <w:pStyle w:val="Normalsmall"/>
        <w:rPr>
          <w:rStyle w:val="Strong"/>
        </w:rPr>
      </w:pPr>
      <w:r>
        <w:rPr>
          <w:rStyle w:val="Strong"/>
        </w:rPr>
        <w:t>Cataloguing data</w:t>
      </w:r>
    </w:p>
    <w:p w14:paraId="3A97F312" w14:textId="3EE042AC" w:rsidR="00764D6A" w:rsidRPr="002165B2" w:rsidRDefault="00E91D72" w:rsidP="002165B2">
      <w:pPr>
        <w:pStyle w:val="Normalsmall"/>
        <w:rPr>
          <w:i/>
        </w:rPr>
      </w:pPr>
      <w:r>
        <w:t xml:space="preserve">This publication (and any material sourced from it) should be attributed as: </w:t>
      </w:r>
      <w:r w:rsidR="00D63C18" w:rsidRPr="00180128">
        <w:t xml:space="preserve">HEPA </w:t>
      </w:r>
      <w:r w:rsidR="00B97E61" w:rsidRPr="00180128">
        <w:t>202</w:t>
      </w:r>
      <w:r w:rsidR="00176594" w:rsidRPr="00180128">
        <w:t>2</w:t>
      </w:r>
      <w:r w:rsidRPr="00180128">
        <w:t xml:space="preserve">, </w:t>
      </w:r>
      <w:r w:rsidR="00180128">
        <w:rPr>
          <w:iCs/>
        </w:rPr>
        <w:t xml:space="preserve">PFAS NEMP Supporting Document - </w:t>
      </w:r>
      <w:r w:rsidR="00180128" w:rsidRPr="00180128">
        <w:rPr>
          <w:iCs/>
        </w:rPr>
        <w:t xml:space="preserve">Human health soil guideline values for PFOS + </w:t>
      </w:r>
      <w:proofErr w:type="spellStart"/>
      <w:r w:rsidR="00180128" w:rsidRPr="00180128">
        <w:rPr>
          <w:iCs/>
        </w:rPr>
        <w:t>PFHxS</w:t>
      </w:r>
      <w:proofErr w:type="spellEnd"/>
      <w:r w:rsidR="00180128" w:rsidRPr="00180128">
        <w:rPr>
          <w:iCs/>
        </w:rPr>
        <w:t xml:space="preserve"> and PFOA: Derivation of the human health investigation levels for soil for ‘residential with garden/accessible soil’ (HIL A) and a review of relevant soil to plant transfer factors</w:t>
      </w:r>
      <w:r>
        <w:t>, CC BY 4.0.</w:t>
      </w:r>
      <w:r w:rsidR="00316613">
        <w:t xml:space="preserve"> </w:t>
      </w:r>
      <w:r w:rsidR="00316613" w:rsidRPr="00316613">
        <w:t>Heads of EPA Australia and New Zealand</w:t>
      </w:r>
      <w:r w:rsidR="00316613">
        <w:t xml:space="preserve"> </w:t>
      </w:r>
    </w:p>
    <w:p w14:paraId="6CA49898" w14:textId="6424010A" w:rsidR="00180128" w:rsidRDefault="00180128" w:rsidP="00180128">
      <w:pPr>
        <w:pStyle w:val="paragraph"/>
        <w:spacing w:before="0" w:beforeAutospacing="0" w:after="0" w:afterAutospacing="0"/>
        <w:textAlignment w:val="baseline"/>
        <w:rPr>
          <w:rStyle w:val="eop"/>
          <w:rFonts w:ascii="Cambria" w:hAnsi="Cambria" w:cs="Segoe UI"/>
          <w:sz w:val="18"/>
          <w:szCs w:val="18"/>
        </w:rPr>
      </w:pPr>
      <w:bookmarkStart w:id="2" w:name="_Hlk112681604"/>
      <w:bookmarkStart w:id="3" w:name="_Hlk112681347"/>
      <w:r>
        <w:rPr>
          <w:rStyle w:val="normaltextrun"/>
          <w:rFonts w:ascii="Cambria" w:eastAsiaTheme="minorHAnsi" w:hAnsi="Cambria" w:cs="Segoe UI"/>
          <w:sz w:val="18"/>
          <w:szCs w:val="18"/>
        </w:rPr>
        <w:t>ISBN XXX-X-XXXXX-XXX-X</w:t>
      </w:r>
      <w:r>
        <w:rPr>
          <w:rStyle w:val="eop"/>
          <w:rFonts w:ascii="Cambria" w:hAnsi="Cambria" w:cs="Segoe UI"/>
          <w:sz w:val="18"/>
          <w:szCs w:val="18"/>
        </w:rPr>
        <w:t> </w:t>
      </w:r>
    </w:p>
    <w:p w14:paraId="5448CBFA" w14:textId="77777777" w:rsidR="00E12815" w:rsidRDefault="00E12815" w:rsidP="00180128">
      <w:pPr>
        <w:pStyle w:val="paragraph"/>
        <w:spacing w:before="0" w:beforeAutospacing="0" w:after="0" w:afterAutospacing="0"/>
        <w:textAlignment w:val="baseline"/>
        <w:rPr>
          <w:rFonts w:ascii="Segoe UI" w:hAnsi="Segoe UI" w:cs="Segoe UI"/>
          <w:sz w:val="18"/>
          <w:szCs w:val="18"/>
        </w:rPr>
      </w:pPr>
    </w:p>
    <w:p w14:paraId="017EE833" w14:textId="77777777" w:rsidR="00180128" w:rsidRDefault="00180128" w:rsidP="0018012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This publication is available at </w:t>
      </w:r>
      <w:hyperlink r:id="rId21" w:tgtFrame="_blank" w:history="1">
        <w:r>
          <w:rPr>
            <w:rStyle w:val="normaltextrun"/>
            <w:rFonts w:ascii="Cambria" w:eastAsiaTheme="minorHAnsi" w:hAnsi="Cambria" w:cs="Segoe UI"/>
            <w:color w:val="165788"/>
            <w:sz w:val="18"/>
            <w:szCs w:val="18"/>
            <w:u w:val="single"/>
          </w:rPr>
          <w:t>dcceew.gov.au/publications</w:t>
        </w:r>
      </w:hyperlink>
      <w:r>
        <w:rPr>
          <w:rStyle w:val="normaltextrun"/>
          <w:rFonts w:ascii="Cambria" w:eastAsiaTheme="minorHAnsi" w:hAnsi="Cambria" w:cs="Segoe UI"/>
          <w:sz w:val="18"/>
          <w:szCs w:val="18"/>
        </w:rPr>
        <w:t>.</w:t>
      </w:r>
      <w:r>
        <w:rPr>
          <w:rStyle w:val="eop"/>
          <w:rFonts w:ascii="Cambria" w:hAnsi="Cambria" w:cs="Segoe UI"/>
          <w:sz w:val="18"/>
          <w:szCs w:val="18"/>
        </w:rPr>
        <w:t> </w:t>
      </w:r>
    </w:p>
    <w:p w14:paraId="7C9E8C12" w14:textId="77777777" w:rsidR="00180128" w:rsidRDefault="00180128" w:rsidP="0018012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Department of Climate Change, Energy, the Environment and Water</w:t>
      </w:r>
      <w:r>
        <w:rPr>
          <w:rStyle w:val="eop"/>
          <w:rFonts w:ascii="Cambria" w:hAnsi="Cambria" w:cs="Segoe UI"/>
          <w:sz w:val="18"/>
          <w:szCs w:val="18"/>
        </w:rPr>
        <w:t> </w:t>
      </w:r>
    </w:p>
    <w:p w14:paraId="69707A6F" w14:textId="77777777" w:rsidR="00180128" w:rsidRDefault="00180128" w:rsidP="0018012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GPO Box 3090 Canberra ACT 2601</w:t>
      </w:r>
      <w:r>
        <w:rPr>
          <w:rStyle w:val="eop"/>
          <w:rFonts w:ascii="Cambria" w:hAnsi="Cambria" w:cs="Segoe UI"/>
          <w:sz w:val="18"/>
          <w:szCs w:val="18"/>
        </w:rPr>
        <w:t> </w:t>
      </w:r>
    </w:p>
    <w:p w14:paraId="1B15EF49" w14:textId="77777777" w:rsidR="00180128" w:rsidRDefault="00180128" w:rsidP="0018012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Telephone 1800 900 090</w:t>
      </w:r>
      <w:r>
        <w:rPr>
          <w:rStyle w:val="eop"/>
          <w:rFonts w:ascii="Cambria" w:hAnsi="Cambria" w:cs="Segoe UI"/>
          <w:sz w:val="18"/>
          <w:szCs w:val="18"/>
        </w:rPr>
        <w:t> </w:t>
      </w:r>
    </w:p>
    <w:p w14:paraId="4E850C0D" w14:textId="7FAC7824" w:rsidR="00764D6A" w:rsidRDefault="00180128" w:rsidP="00921EDE">
      <w:pPr>
        <w:pStyle w:val="paragraph"/>
        <w:spacing w:before="0" w:beforeAutospacing="0" w:after="0" w:afterAutospacing="0"/>
        <w:textAlignment w:val="baseline"/>
        <w:rPr>
          <w:rStyle w:val="eop"/>
          <w:rFonts w:ascii="Cambria" w:hAnsi="Cambria" w:cs="Segoe UI"/>
          <w:sz w:val="18"/>
          <w:szCs w:val="18"/>
        </w:rPr>
      </w:pPr>
      <w:r>
        <w:rPr>
          <w:rStyle w:val="normaltextrun"/>
          <w:rFonts w:ascii="Cambria" w:eastAsiaTheme="minorHAnsi" w:hAnsi="Cambria" w:cs="Segoe UI"/>
          <w:sz w:val="18"/>
          <w:szCs w:val="18"/>
        </w:rPr>
        <w:t xml:space="preserve">Web </w:t>
      </w:r>
      <w:hyperlink r:id="rId22" w:tgtFrame="_blank" w:history="1">
        <w:r>
          <w:rPr>
            <w:rStyle w:val="normaltextrun"/>
            <w:rFonts w:ascii="Cambria" w:eastAsiaTheme="minorHAnsi" w:hAnsi="Cambria" w:cs="Segoe UI"/>
            <w:color w:val="165788"/>
            <w:sz w:val="18"/>
            <w:szCs w:val="18"/>
            <w:u w:val="single"/>
          </w:rPr>
          <w:t>dcceew.gov.au</w:t>
        </w:r>
      </w:hyperlink>
      <w:r>
        <w:rPr>
          <w:rStyle w:val="eop"/>
          <w:rFonts w:ascii="Cambria" w:hAnsi="Cambria" w:cs="Segoe UI"/>
          <w:sz w:val="18"/>
          <w:szCs w:val="18"/>
        </w:rPr>
        <w:t> </w:t>
      </w:r>
      <w:bookmarkEnd w:id="2"/>
    </w:p>
    <w:p w14:paraId="168A0A05" w14:textId="77777777" w:rsidR="00921EDE" w:rsidRPr="00921EDE" w:rsidRDefault="00921EDE" w:rsidP="00921EDE">
      <w:pPr>
        <w:pStyle w:val="paragraph"/>
        <w:spacing w:before="0" w:beforeAutospacing="0" w:after="0" w:afterAutospacing="0"/>
        <w:textAlignment w:val="baseline"/>
        <w:rPr>
          <w:rFonts w:ascii="Segoe UI" w:hAnsi="Segoe UI" w:cs="Segoe UI"/>
          <w:sz w:val="18"/>
          <w:szCs w:val="18"/>
        </w:rPr>
      </w:pPr>
    </w:p>
    <w:bookmarkEnd w:id="3"/>
    <w:p w14:paraId="612C1C46" w14:textId="77777777" w:rsidR="007C358A" w:rsidRDefault="007C358A">
      <w:pPr>
        <w:pStyle w:val="Normalsmall"/>
      </w:pPr>
      <w:r>
        <w:rPr>
          <w:rStyle w:val="Strong"/>
        </w:rPr>
        <w:t>Disclaimer</w:t>
      </w:r>
    </w:p>
    <w:p w14:paraId="74458331" w14:textId="30F7CC52" w:rsidR="00764D6A" w:rsidRDefault="00E91D72">
      <w:pPr>
        <w:pStyle w:val="Normalsmall"/>
      </w:pPr>
      <w:r>
        <w:t xml:space="preserve">The Australian Government </w:t>
      </w:r>
      <w:r w:rsidR="00E64D57" w:rsidRPr="00E64D57">
        <w:t xml:space="preserve">and each Australian State and Territory </w:t>
      </w:r>
      <w:r>
        <w:t xml:space="preserve">acting through the </w:t>
      </w:r>
      <w:r w:rsidR="005322A2" w:rsidRPr="005322A2">
        <w:t xml:space="preserve">Heads of EPA Australia and New Zealand </w:t>
      </w:r>
      <w:r>
        <w:t xml:space="preserve">has exercised due care and skill in preparing and compiling the information and data in this publication. Notwithstanding, </w:t>
      </w:r>
      <w:r w:rsidR="00384E7A">
        <w:t xml:space="preserve">The Australian Government </w:t>
      </w:r>
      <w:r w:rsidR="00384E7A" w:rsidRPr="00E64D57">
        <w:t>and each Australian State and Territory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9C6DFDF" w14:textId="77777777" w:rsidR="00764D6A" w:rsidRPr="00881449" w:rsidRDefault="00E91D72">
      <w:pPr>
        <w:pStyle w:val="Normalsmall"/>
        <w:rPr>
          <w:rStyle w:val="Strong"/>
        </w:rPr>
      </w:pPr>
      <w:r w:rsidRPr="00881449">
        <w:rPr>
          <w:rStyle w:val="Strong"/>
        </w:rPr>
        <w:t>Acknowledgements</w:t>
      </w:r>
    </w:p>
    <w:p w14:paraId="4D87253C" w14:textId="7673FCAE" w:rsidR="00764D6A" w:rsidRPr="00A16076" w:rsidRDefault="00A16076" w:rsidP="00A16076">
      <w:pPr>
        <w:pStyle w:val="Normalsmall"/>
      </w:pPr>
      <w:r w:rsidRPr="00881449">
        <w:t xml:space="preserve">The Heads of EPA Australia and New Zealand (HEPA) acknowledge the contributions of Commonwealth, </w:t>
      </w:r>
      <w:r w:rsidR="001A6496">
        <w:t>S</w:t>
      </w:r>
      <w:r w:rsidRPr="00881449">
        <w:t xml:space="preserve">tate and </w:t>
      </w:r>
      <w:r w:rsidR="001A6496">
        <w:t>T</w:t>
      </w:r>
      <w:r w:rsidRPr="00881449">
        <w:t>erritory agencies and thank everyone who provided input and feedback to inform the development of this plan.</w:t>
      </w:r>
    </w:p>
    <w:p w14:paraId="54AC439D" w14:textId="77777777" w:rsidR="00B02B9B" w:rsidRDefault="00B02B9B" w:rsidP="00B02B9B">
      <w:pPr>
        <w:pStyle w:val="Normalsmall"/>
      </w:pPr>
      <w:r>
        <w:rPr>
          <w:rStyle w:val="Strong"/>
        </w:rPr>
        <w:t>Acknowledgement of Country</w:t>
      </w:r>
    </w:p>
    <w:p w14:paraId="16D87775" w14:textId="77777777" w:rsidR="00013FF6" w:rsidRDefault="00D07F7D">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00013FF6" w:rsidRPr="00013FF6">
        <w:t xml:space="preserve"> </w:t>
      </w:r>
    </w:p>
    <w:p w14:paraId="33BDC6FC" w14:textId="77777777" w:rsidR="00D54017" w:rsidRDefault="00D54017">
      <w:pPr>
        <w:spacing w:after="0" w:line="240" w:lineRule="auto"/>
        <w:rPr>
          <w:rFonts w:ascii="Times New Roman" w:hAnsi="Times New Roman" w:cs="Times New Roman"/>
          <w:bCs/>
        </w:rPr>
        <w:sectPr w:rsidR="00D54017">
          <w:headerReference w:type="default" r:id="rId23"/>
          <w:footerReference w:type="default" r:id="rId24"/>
          <w:pgSz w:w="11906" w:h="16838"/>
          <w:pgMar w:top="1418" w:right="1418" w:bottom="1418" w:left="1418" w:header="567" w:footer="283" w:gutter="0"/>
          <w:cols w:space="708"/>
          <w:docGrid w:linePitch="360"/>
        </w:sectPr>
      </w:pPr>
    </w:p>
    <w:p w14:paraId="154610AC" w14:textId="1E7C8546" w:rsidR="003322A4" w:rsidRPr="00D54017" w:rsidRDefault="003322A4" w:rsidP="00D54017">
      <w:pPr>
        <w:spacing w:after="0" w:line="240" w:lineRule="auto"/>
        <w:rPr>
          <w:rFonts w:ascii="Times New Roman" w:hAnsi="Times New Roman" w:cs="Times New Roman"/>
        </w:rPr>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FDB0958" w14:textId="1E7F2E6C" w:rsidR="00764D6A" w:rsidRDefault="00E91D72">
          <w:pPr>
            <w:pStyle w:val="TOCHeading"/>
          </w:pPr>
          <w:r>
            <w:t xml:space="preserve">Contents </w:t>
          </w:r>
        </w:p>
        <w:p w14:paraId="0174EB14" w14:textId="1706F9B2" w:rsidR="006A0587" w:rsidRDefault="00E91D72">
          <w:pPr>
            <w:pStyle w:val="TOC2"/>
            <w:rPr>
              <w:rFonts w:asciiTheme="minorHAnsi" w:eastAsiaTheme="minorEastAsia" w:hAnsiTheme="minorHAnsi"/>
              <w:lang w:eastAsia="en-AU"/>
            </w:rPr>
          </w:pPr>
          <w:r>
            <w:fldChar w:fldCharType="begin"/>
          </w:r>
          <w:r>
            <w:instrText xml:space="preserve"> TOC \h \z \u \t "Heading 2,1,Heading 3,2,Style1,2,TOA Heading,1" </w:instrText>
          </w:r>
          <w:r>
            <w:fldChar w:fldCharType="separate"/>
          </w:r>
          <w:hyperlink r:id="rId25" w:anchor="_Toc112151549" w:history="1">
            <w:r w:rsidR="006A0587" w:rsidRPr="00B2788B">
              <w:rPr>
                <w:rStyle w:val="Hyperlink"/>
                <w:lang w:eastAsia="ja-JP"/>
              </w:rPr>
              <w:t>Human health soil guideline values for PFOS + PFHxS and PFOA:</w:t>
            </w:r>
            <w:r w:rsidR="006A0587">
              <w:rPr>
                <w:webHidden/>
              </w:rPr>
              <w:tab/>
            </w:r>
            <w:r w:rsidR="006A0587">
              <w:rPr>
                <w:webHidden/>
              </w:rPr>
              <w:fldChar w:fldCharType="begin"/>
            </w:r>
            <w:r w:rsidR="006A0587">
              <w:rPr>
                <w:webHidden/>
              </w:rPr>
              <w:instrText xml:space="preserve"> PAGEREF _Toc112151549 \h </w:instrText>
            </w:r>
            <w:r w:rsidR="006A0587">
              <w:rPr>
                <w:webHidden/>
              </w:rPr>
            </w:r>
            <w:r w:rsidR="006A0587">
              <w:rPr>
                <w:webHidden/>
              </w:rPr>
              <w:fldChar w:fldCharType="separate"/>
            </w:r>
            <w:r w:rsidR="006A0587">
              <w:rPr>
                <w:webHidden/>
              </w:rPr>
              <w:t>1</w:t>
            </w:r>
            <w:r w:rsidR="006A0587">
              <w:rPr>
                <w:webHidden/>
              </w:rPr>
              <w:fldChar w:fldCharType="end"/>
            </w:r>
          </w:hyperlink>
        </w:p>
        <w:p w14:paraId="7D6B03F3" w14:textId="103CFFFE" w:rsidR="006A0587" w:rsidRDefault="008D7C8F">
          <w:pPr>
            <w:pStyle w:val="TOC2"/>
            <w:rPr>
              <w:rFonts w:asciiTheme="minorHAnsi" w:eastAsiaTheme="minorEastAsia" w:hAnsiTheme="minorHAnsi"/>
              <w:lang w:eastAsia="en-AU"/>
            </w:rPr>
          </w:pPr>
          <w:hyperlink r:id="rId26" w:anchor="_Toc112151550" w:history="1">
            <w:r w:rsidR="006A0587" w:rsidRPr="00B2788B">
              <w:rPr>
                <w:rStyle w:val="Hyperlink"/>
                <w:lang w:eastAsia="ja-JP"/>
              </w:rPr>
              <w:t>Derivation of the human health investigation levels for soil for ‘residential with garden/accessible soil’ (HIL A) and a review of relevant soil to plant transfer factors</w:t>
            </w:r>
            <w:r w:rsidR="006A0587">
              <w:rPr>
                <w:webHidden/>
              </w:rPr>
              <w:tab/>
            </w:r>
            <w:r w:rsidR="006A0587">
              <w:rPr>
                <w:webHidden/>
              </w:rPr>
              <w:fldChar w:fldCharType="begin"/>
            </w:r>
            <w:r w:rsidR="006A0587">
              <w:rPr>
                <w:webHidden/>
              </w:rPr>
              <w:instrText xml:space="preserve"> PAGEREF _Toc112151550 \h </w:instrText>
            </w:r>
            <w:r w:rsidR="006A0587">
              <w:rPr>
                <w:webHidden/>
              </w:rPr>
            </w:r>
            <w:r w:rsidR="006A0587">
              <w:rPr>
                <w:webHidden/>
              </w:rPr>
              <w:fldChar w:fldCharType="separate"/>
            </w:r>
            <w:r w:rsidR="006A0587">
              <w:rPr>
                <w:webHidden/>
              </w:rPr>
              <w:t>1</w:t>
            </w:r>
            <w:r w:rsidR="006A0587">
              <w:rPr>
                <w:webHidden/>
              </w:rPr>
              <w:fldChar w:fldCharType="end"/>
            </w:r>
          </w:hyperlink>
        </w:p>
        <w:p w14:paraId="0D838F7F" w14:textId="65DB1079" w:rsidR="006A0587" w:rsidRDefault="008D7C8F">
          <w:pPr>
            <w:pStyle w:val="TOC2"/>
            <w:rPr>
              <w:rFonts w:asciiTheme="minorHAnsi" w:eastAsiaTheme="minorEastAsia" w:hAnsiTheme="minorHAnsi"/>
              <w:lang w:eastAsia="en-AU"/>
            </w:rPr>
          </w:pPr>
          <w:hyperlink r:id="rId27" w:anchor="_Toc112151551" w:history="1">
            <w:r w:rsidR="006A0587" w:rsidRPr="00B2788B">
              <w:rPr>
                <w:rStyle w:val="Hyperlink"/>
              </w:rPr>
              <w:t>National Chemicals Working Group of the Heads of EPAs Australia and New Zealand</w:t>
            </w:r>
            <w:r w:rsidR="006A0587">
              <w:rPr>
                <w:webHidden/>
              </w:rPr>
              <w:tab/>
            </w:r>
            <w:r w:rsidR="006A0587">
              <w:rPr>
                <w:webHidden/>
              </w:rPr>
              <w:fldChar w:fldCharType="begin"/>
            </w:r>
            <w:r w:rsidR="006A0587">
              <w:rPr>
                <w:webHidden/>
              </w:rPr>
              <w:instrText xml:space="preserve"> PAGEREF _Toc112151551 \h </w:instrText>
            </w:r>
            <w:r w:rsidR="006A0587">
              <w:rPr>
                <w:webHidden/>
              </w:rPr>
            </w:r>
            <w:r w:rsidR="006A0587">
              <w:rPr>
                <w:webHidden/>
              </w:rPr>
              <w:fldChar w:fldCharType="separate"/>
            </w:r>
            <w:r w:rsidR="006A0587">
              <w:rPr>
                <w:webHidden/>
              </w:rPr>
              <w:t>1</w:t>
            </w:r>
            <w:r w:rsidR="006A0587">
              <w:rPr>
                <w:webHidden/>
              </w:rPr>
              <w:fldChar w:fldCharType="end"/>
            </w:r>
          </w:hyperlink>
        </w:p>
        <w:p w14:paraId="0B24B0B7" w14:textId="4A831F75" w:rsidR="006A0587" w:rsidRDefault="008D7C8F">
          <w:pPr>
            <w:pStyle w:val="TOC1"/>
            <w:rPr>
              <w:rFonts w:asciiTheme="minorHAnsi" w:eastAsiaTheme="minorEastAsia" w:hAnsiTheme="minorHAnsi"/>
              <w:b w:val="0"/>
              <w:lang w:eastAsia="en-AU"/>
            </w:rPr>
          </w:pPr>
          <w:hyperlink w:anchor="_Toc112151552" w:history="1">
            <w:r w:rsidR="006A0587" w:rsidRPr="00B2788B">
              <w:rPr>
                <w:rStyle w:val="Hyperlink"/>
              </w:rPr>
              <w:t>Introduction</w:t>
            </w:r>
            <w:r w:rsidR="006A0587">
              <w:rPr>
                <w:webHidden/>
              </w:rPr>
              <w:tab/>
            </w:r>
            <w:r w:rsidR="006A0587">
              <w:rPr>
                <w:webHidden/>
              </w:rPr>
              <w:fldChar w:fldCharType="begin"/>
            </w:r>
            <w:r w:rsidR="006A0587">
              <w:rPr>
                <w:webHidden/>
              </w:rPr>
              <w:instrText xml:space="preserve"> PAGEREF _Toc112151552 \h </w:instrText>
            </w:r>
            <w:r w:rsidR="006A0587">
              <w:rPr>
                <w:webHidden/>
              </w:rPr>
            </w:r>
            <w:r w:rsidR="006A0587">
              <w:rPr>
                <w:webHidden/>
              </w:rPr>
              <w:fldChar w:fldCharType="separate"/>
            </w:r>
            <w:r w:rsidR="006A0587">
              <w:rPr>
                <w:webHidden/>
              </w:rPr>
              <w:t>2</w:t>
            </w:r>
            <w:r w:rsidR="006A0587">
              <w:rPr>
                <w:webHidden/>
              </w:rPr>
              <w:fldChar w:fldCharType="end"/>
            </w:r>
          </w:hyperlink>
        </w:p>
        <w:p w14:paraId="199C0B17" w14:textId="24916B3F" w:rsidR="006A0587" w:rsidRDefault="008D7C8F">
          <w:pPr>
            <w:pStyle w:val="TOC1"/>
            <w:rPr>
              <w:rFonts w:asciiTheme="minorHAnsi" w:eastAsiaTheme="minorEastAsia" w:hAnsiTheme="minorHAnsi"/>
              <w:b w:val="0"/>
              <w:lang w:eastAsia="en-AU"/>
            </w:rPr>
          </w:pPr>
          <w:hyperlink w:anchor="_Toc112151555" w:history="1">
            <w:r w:rsidR="006A0587" w:rsidRPr="00B2788B">
              <w:rPr>
                <w:rStyle w:val="Hyperlink"/>
              </w:rPr>
              <w:t>1</w:t>
            </w:r>
            <w:r w:rsidR="006A0587">
              <w:rPr>
                <w:rFonts w:asciiTheme="minorHAnsi" w:eastAsiaTheme="minorEastAsia" w:hAnsiTheme="minorHAnsi"/>
                <w:b w:val="0"/>
                <w:lang w:eastAsia="en-AU"/>
              </w:rPr>
              <w:tab/>
            </w:r>
            <w:r w:rsidR="006A0587" w:rsidRPr="00B2788B">
              <w:rPr>
                <w:rStyle w:val="Hyperlink"/>
              </w:rPr>
              <w:t>Derivation of the HIL A adopted in NEMP 3.0</w:t>
            </w:r>
            <w:r w:rsidR="006A0587">
              <w:rPr>
                <w:webHidden/>
              </w:rPr>
              <w:tab/>
            </w:r>
            <w:r w:rsidR="006A0587">
              <w:rPr>
                <w:webHidden/>
              </w:rPr>
              <w:fldChar w:fldCharType="begin"/>
            </w:r>
            <w:r w:rsidR="006A0587">
              <w:rPr>
                <w:webHidden/>
              </w:rPr>
              <w:instrText xml:space="preserve"> PAGEREF _Toc112151555 \h </w:instrText>
            </w:r>
            <w:r w:rsidR="006A0587">
              <w:rPr>
                <w:webHidden/>
              </w:rPr>
            </w:r>
            <w:r w:rsidR="006A0587">
              <w:rPr>
                <w:webHidden/>
              </w:rPr>
              <w:fldChar w:fldCharType="separate"/>
            </w:r>
            <w:r w:rsidR="006A0587">
              <w:rPr>
                <w:webHidden/>
              </w:rPr>
              <w:t>4</w:t>
            </w:r>
            <w:r w:rsidR="006A0587">
              <w:rPr>
                <w:webHidden/>
              </w:rPr>
              <w:fldChar w:fldCharType="end"/>
            </w:r>
          </w:hyperlink>
        </w:p>
        <w:p w14:paraId="12622416" w14:textId="2810413A" w:rsidR="006A0587" w:rsidRDefault="008D7C8F">
          <w:pPr>
            <w:pStyle w:val="TOC1"/>
            <w:rPr>
              <w:rFonts w:asciiTheme="minorHAnsi" w:eastAsiaTheme="minorEastAsia" w:hAnsiTheme="minorHAnsi"/>
              <w:b w:val="0"/>
              <w:lang w:eastAsia="en-AU"/>
            </w:rPr>
          </w:pPr>
          <w:hyperlink w:anchor="_Toc112151556" w:history="1">
            <w:r w:rsidR="006A0587" w:rsidRPr="00B2788B">
              <w:rPr>
                <w:rStyle w:val="Hyperlink"/>
              </w:rPr>
              <w:t>2</w:t>
            </w:r>
            <w:r w:rsidR="006A0587">
              <w:rPr>
                <w:rFonts w:asciiTheme="minorHAnsi" w:eastAsiaTheme="minorEastAsia" w:hAnsiTheme="minorHAnsi"/>
                <w:b w:val="0"/>
                <w:lang w:eastAsia="en-AU"/>
              </w:rPr>
              <w:tab/>
            </w:r>
            <w:r w:rsidR="006A0587" w:rsidRPr="00B2788B">
              <w:rPr>
                <w:rStyle w:val="Hyperlink"/>
              </w:rPr>
              <w:t>Soil to plant transfer factors used to derive the HIL A</w:t>
            </w:r>
            <w:r w:rsidR="006A0587">
              <w:rPr>
                <w:webHidden/>
              </w:rPr>
              <w:tab/>
            </w:r>
            <w:r w:rsidR="006A0587">
              <w:rPr>
                <w:webHidden/>
              </w:rPr>
              <w:fldChar w:fldCharType="begin"/>
            </w:r>
            <w:r w:rsidR="006A0587">
              <w:rPr>
                <w:webHidden/>
              </w:rPr>
              <w:instrText xml:space="preserve"> PAGEREF _Toc112151556 \h </w:instrText>
            </w:r>
            <w:r w:rsidR="006A0587">
              <w:rPr>
                <w:webHidden/>
              </w:rPr>
            </w:r>
            <w:r w:rsidR="006A0587">
              <w:rPr>
                <w:webHidden/>
              </w:rPr>
              <w:fldChar w:fldCharType="separate"/>
            </w:r>
            <w:r w:rsidR="006A0587">
              <w:rPr>
                <w:webHidden/>
              </w:rPr>
              <w:t>5</w:t>
            </w:r>
            <w:r w:rsidR="006A0587">
              <w:rPr>
                <w:webHidden/>
              </w:rPr>
              <w:fldChar w:fldCharType="end"/>
            </w:r>
          </w:hyperlink>
        </w:p>
        <w:p w14:paraId="5A0F1258" w14:textId="226DA9AB" w:rsidR="006A0587" w:rsidRDefault="008D7C8F">
          <w:pPr>
            <w:pStyle w:val="TOC2"/>
            <w:tabs>
              <w:tab w:val="left" w:pos="1100"/>
            </w:tabs>
            <w:rPr>
              <w:rFonts w:asciiTheme="minorHAnsi" w:eastAsiaTheme="minorEastAsia" w:hAnsiTheme="minorHAnsi"/>
              <w:lang w:eastAsia="en-AU"/>
            </w:rPr>
          </w:pPr>
          <w:hyperlink w:anchor="_Toc112151557" w:history="1">
            <w:r w:rsidR="006A0587" w:rsidRPr="00B2788B">
              <w:rPr>
                <w:rStyle w:val="Hyperlink"/>
              </w:rPr>
              <w:t>2.1</w:t>
            </w:r>
            <w:r w:rsidR="006A0587">
              <w:rPr>
                <w:rFonts w:asciiTheme="minorHAnsi" w:eastAsiaTheme="minorEastAsia" w:hAnsiTheme="minorHAnsi"/>
                <w:lang w:eastAsia="en-AU"/>
              </w:rPr>
              <w:tab/>
            </w:r>
            <w:r w:rsidR="006A0587" w:rsidRPr="00B2788B">
              <w:rPr>
                <w:rStyle w:val="Hyperlink"/>
              </w:rPr>
              <w:t>Calulating Transfer Factors</w:t>
            </w:r>
            <w:r w:rsidR="006A0587">
              <w:rPr>
                <w:webHidden/>
              </w:rPr>
              <w:tab/>
            </w:r>
            <w:r w:rsidR="006A0587">
              <w:rPr>
                <w:webHidden/>
              </w:rPr>
              <w:fldChar w:fldCharType="begin"/>
            </w:r>
            <w:r w:rsidR="006A0587">
              <w:rPr>
                <w:webHidden/>
              </w:rPr>
              <w:instrText xml:space="preserve"> PAGEREF _Toc112151557 \h </w:instrText>
            </w:r>
            <w:r w:rsidR="006A0587">
              <w:rPr>
                <w:webHidden/>
              </w:rPr>
            </w:r>
            <w:r w:rsidR="006A0587">
              <w:rPr>
                <w:webHidden/>
              </w:rPr>
              <w:fldChar w:fldCharType="separate"/>
            </w:r>
            <w:r w:rsidR="006A0587">
              <w:rPr>
                <w:webHidden/>
              </w:rPr>
              <w:t>6</w:t>
            </w:r>
            <w:r w:rsidR="006A0587">
              <w:rPr>
                <w:webHidden/>
              </w:rPr>
              <w:fldChar w:fldCharType="end"/>
            </w:r>
          </w:hyperlink>
        </w:p>
        <w:p w14:paraId="0F3F9635" w14:textId="496AE45D" w:rsidR="006A0587" w:rsidRDefault="008D7C8F">
          <w:pPr>
            <w:pStyle w:val="TOC1"/>
            <w:rPr>
              <w:rFonts w:asciiTheme="minorHAnsi" w:eastAsiaTheme="minorEastAsia" w:hAnsiTheme="minorHAnsi"/>
              <w:b w:val="0"/>
              <w:lang w:eastAsia="en-AU"/>
            </w:rPr>
          </w:pPr>
          <w:hyperlink w:anchor="_Toc112151558" w:history="1">
            <w:r w:rsidR="006A0587" w:rsidRPr="00B2788B">
              <w:rPr>
                <w:rStyle w:val="Hyperlink"/>
              </w:rPr>
              <w:t>3</w:t>
            </w:r>
            <w:r w:rsidR="006A0587">
              <w:rPr>
                <w:rFonts w:asciiTheme="minorHAnsi" w:eastAsiaTheme="minorEastAsia" w:hAnsiTheme="minorHAnsi"/>
                <w:b w:val="0"/>
                <w:lang w:eastAsia="en-AU"/>
              </w:rPr>
              <w:tab/>
            </w:r>
            <w:r w:rsidR="006A0587" w:rsidRPr="00B2788B">
              <w:rPr>
                <w:rStyle w:val="Hyperlink"/>
              </w:rPr>
              <w:t>Summary of TFs for other plant categories not included in ASC NEPM</w:t>
            </w:r>
            <w:r w:rsidR="006A0587">
              <w:rPr>
                <w:webHidden/>
              </w:rPr>
              <w:tab/>
            </w:r>
            <w:r w:rsidR="006A0587">
              <w:rPr>
                <w:webHidden/>
              </w:rPr>
              <w:fldChar w:fldCharType="begin"/>
            </w:r>
            <w:r w:rsidR="006A0587">
              <w:rPr>
                <w:webHidden/>
              </w:rPr>
              <w:instrText xml:space="preserve"> PAGEREF _Toc112151558 \h </w:instrText>
            </w:r>
            <w:r w:rsidR="006A0587">
              <w:rPr>
                <w:webHidden/>
              </w:rPr>
            </w:r>
            <w:r w:rsidR="006A0587">
              <w:rPr>
                <w:webHidden/>
              </w:rPr>
              <w:fldChar w:fldCharType="separate"/>
            </w:r>
            <w:r w:rsidR="006A0587">
              <w:rPr>
                <w:webHidden/>
              </w:rPr>
              <w:t>7</w:t>
            </w:r>
            <w:r w:rsidR="006A0587">
              <w:rPr>
                <w:webHidden/>
              </w:rPr>
              <w:fldChar w:fldCharType="end"/>
            </w:r>
          </w:hyperlink>
        </w:p>
        <w:p w14:paraId="157239BC" w14:textId="79A75A68" w:rsidR="006A0587" w:rsidRDefault="008D7C8F">
          <w:pPr>
            <w:pStyle w:val="TOC1"/>
            <w:rPr>
              <w:rFonts w:asciiTheme="minorHAnsi" w:eastAsiaTheme="minorEastAsia" w:hAnsiTheme="minorHAnsi"/>
              <w:b w:val="0"/>
              <w:lang w:eastAsia="en-AU"/>
            </w:rPr>
          </w:pPr>
          <w:hyperlink w:anchor="_Toc112151559" w:history="1">
            <w:r w:rsidR="006A0587" w:rsidRPr="00B2788B">
              <w:rPr>
                <w:rStyle w:val="Hyperlink"/>
              </w:rPr>
              <w:t>References</w:t>
            </w:r>
            <w:r w:rsidR="006A0587">
              <w:rPr>
                <w:webHidden/>
              </w:rPr>
              <w:tab/>
            </w:r>
            <w:r w:rsidR="006A0587">
              <w:rPr>
                <w:webHidden/>
              </w:rPr>
              <w:fldChar w:fldCharType="begin"/>
            </w:r>
            <w:r w:rsidR="006A0587">
              <w:rPr>
                <w:webHidden/>
              </w:rPr>
              <w:instrText xml:space="preserve"> PAGEREF _Toc112151559 \h </w:instrText>
            </w:r>
            <w:r w:rsidR="006A0587">
              <w:rPr>
                <w:webHidden/>
              </w:rPr>
            </w:r>
            <w:r w:rsidR="006A0587">
              <w:rPr>
                <w:webHidden/>
              </w:rPr>
              <w:fldChar w:fldCharType="separate"/>
            </w:r>
            <w:r w:rsidR="006A0587">
              <w:rPr>
                <w:webHidden/>
              </w:rPr>
              <w:t>10</w:t>
            </w:r>
            <w:r w:rsidR="006A0587">
              <w:rPr>
                <w:webHidden/>
              </w:rPr>
              <w:fldChar w:fldCharType="end"/>
            </w:r>
          </w:hyperlink>
        </w:p>
        <w:p w14:paraId="5A1DA9E7" w14:textId="3F5C5C39" w:rsidR="006A0587" w:rsidRDefault="008D7C8F">
          <w:pPr>
            <w:pStyle w:val="TOC1"/>
            <w:rPr>
              <w:rFonts w:asciiTheme="minorHAnsi" w:eastAsiaTheme="minorEastAsia" w:hAnsiTheme="minorHAnsi"/>
              <w:b w:val="0"/>
              <w:lang w:eastAsia="en-AU"/>
            </w:rPr>
          </w:pPr>
          <w:hyperlink w:anchor="_Toc112151560" w:history="1">
            <w:r w:rsidR="006A0587" w:rsidRPr="00B2788B">
              <w:rPr>
                <w:rStyle w:val="Hyperlink"/>
              </w:rPr>
              <w:t>Appendix A : Summary of transfer factors considered for deriving the HIL A</w:t>
            </w:r>
            <w:r w:rsidR="006A0587">
              <w:rPr>
                <w:webHidden/>
              </w:rPr>
              <w:tab/>
            </w:r>
            <w:r w:rsidR="006A0587">
              <w:rPr>
                <w:webHidden/>
              </w:rPr>
              <w:fldChar w:fldCharType="begin"/>
            </w:r>
            <w:r w:rsidR="006A0587">
              <w:rPr>
                <w:webHidden/>
              </w:rPr>
              <w:instrText xml:space="preserve"> PAGEREF _Toc112151560 \h </w:instrText>
            </w:r>
            <w:r w:rsidR="006A0587">
              <w:rPr>
                <w:webHidden/>
              </w:rPr>
            </w:r>
            <w:r w:rsidR="006A0587">
              <w:rPr>
                <w:webHidden/>
              </w:rPr>
              <w:fldChar w:fldCharType="separate"/>
            </w:r>
            <w:r w:rsidR="006A0587">
              <w:rPr>
                <w:webHidden/>
              </w:rPr>
              <w:t>13</w:t>
            </w:r>
            <w:r w:rsidR="006A0587">
              <w:rPr>
                <w:webHidden/>
              </w:rPr>
              <w:fldChar w:fldCharType="end"/>
            </w:r>
          </w:hyperlink>
        </w:p>
        <w:p w14:paraId="3F0BDD22" w14:textId="0002CFA6" w:rsidR="006A0587" w:rsidRDefault="008D7C8F">
          <w:pPr>
            <w:pStyle w:val="TOC2"/>
            <w:rPr>
              <w:rFonts w:asciiTheme="minorHAnsi" w:eastAsiaTheme="minorEastAsia" w:hAnsiTheme="minorHAnsi"/>
              <w:lang w:eastAsia="en-AU"/>
            </w:rPr>
          </w:pPr>
          <w:hyperlink w:anchor="_Toc112151561" w:history="1">
            <w:r w:rsidR="006A0587" w:rsidRPr="00B2788B">
              <w:rPr>
                <w:rStyle w:val="Hyperlink"/>
              </w:rPr>
              <w:t>A.1 PFOS + PFHxS</w:t>
            </w:r>
            <w:r w:rsidR="006A0587">
              <w:rPr>
                <w:webHidden/>
              </w:rPr>
              <w:tab/>
            </w:r>
            <w:r w:rsidR="006A0587">
              <w:rPr>
                <w:webHidden/>
              </w:rPr>
              <w:fldChar w:fldCharType="begin"/>
            </w:r>
            <w:r w:rsidR="006A0587">
              <w:rPr>
                <w:webHidden/>
              </w:rPr>
              <w:instrText xml:space="preserve"> PAGEREF _Toc112151561 \h </w:instrText>
            </w:r>
            <w:r w:rsidR="006A0587">
              <w:rPr>
                <w:webHidden/>
              </w:rPr>
            </w:r>
            <w:r w:rsidR="006A0587">
              <w:rPr>
                <w:webHidden/>
              </w:rPr>
              <w:fldChar w:fldCharType="separate"/>
            </w:r>
            <w:r w:rsidR="006A0587">
              <w:rPr>
                <w:webHidden/>
              </w:rPr>
              <w:t>13</w:t>
            </w:r>
            <w:r w:rsidR="006A0587">
              <w:rPr>
                <w:webHidden/>
              </w:rPr>
              <w:fldChar w:fldCharType="end"/>
            </w:r>
          </w:hyperlink>
        </w:p>
        <w:p w14:paraId="452F2F80" w14:textId="7670437A" w:rsidR="006A0587" w:rsidRDefault="008D7C8F">
          <w:pPr>
            <w:pStyle w:val="TOC1"/>
            <w:rPr>
              <w:rFonts w:asciiTheme="minorHAnsi" w:eastAsiaTheme="minorEastAsia" w:hAnsiTheme="minorHAnsi"/>
              <w:b w:val="0"/>
              <w:lang w:eastAsia="en-AU"/>
            </w:rPr>
          </w:pPr>
          <w:hyperlink w:anchor="_Toc112151562" w:history="1">
            <w:r w:rsidR="006A0587" w:rsidRPr="00B2788B">
              <w:rPr>
                <w:rStyle w:val="Hyperlink"/>
              </w:rPr>
              <w:t>Appendix B: Sensitivity analysis for PFOS and PFOA</w:t>
            </w:r>
            <w:r w:rsidR="006A0587">
              <w:rPr>
                <w:webHidden/>
              </w:rPr>
              <w:tab/>
            </w:r>
            <w:r w:rsidR="006A0587">
              <w:rPr>
                <w:webHidden/>
              </w:rPr>
              <w:fldChar w:fldCharType="begin"/>
            </w:r>
            <w:r w:rsidR="006A0587">
              <w:rPr>
                <w:webHidden/>
              </w:rPr>
              <w:instrText xml:space="preserve"> PAGEREF _Toc112151562 \h </w:instrText>
            </w:r>
            <w:r w:rsidR="006A0587">
              <w:rPr>
                <w:webHidden/>
              </w:rPr>
            </w:r>
            <w:r w:rsidR="006A0587">
              <w:rPr>
                <w:webHidden/>
              </w:rPr>
              <w:fldChar w:fldCharType="separate"/>
            </w:r>
            <w:r w:rsidR="006A0587">
              <w:rPr>
                <w:webHidden/>
              </w:rPr>
              <w:t>20</w:t>
            </w:r>
            <w:r w:rsidR="006A0587">
              <w:rPr>
                <w:webHidden/>
              </w:rPr>
              <w:fldChar w:fldCharType="end"/>
            </w:r>
          </w:hyperlink>
        </w:p>
        <w:p w14:paraId="3E3E2CA6" w14:textId="5168432E" w:rsidR="006A0587" w:rsidRDefault="008D7C8F">
          <w:pPr>
            <w:pStyle w:val="TOC2"/>
            <w:rPr>
              <w:rFonts w:asciiTheme="minorHAnsi" w:eastAsiaTheme="minorEastAsia" w:hAnsiTheme="minorHAnsi"/>
              <w:lang w:eastAsia="en-AU"/>
            </w:rPr>
          </w:pPr>
          <w:hyperlink w:anchor="_Toc112151563" w:history="1">
            <w:r w:rsidR="006A0587" w:rsidRPr="00B2788B">
              <w:rPr>
                <w:rStyle w:val="Hyperlink"/>
                <w:lang w:eastAsia="ja-JP"/>
              </w:rPr>
              <w:t>B.1 PFOS</w:t>
            </w:r>
            <w:r w:rsidR="006A0587">
              <w:rPr>
                <w:webHidden/>
              </w:rPr>
              <w:tab/>
            </w:r>
            <w:r w:rsidR="006A0587">
              <w:rPr>
                <w:webHidden/>
              </w:rPr>
              <w:fldChar w:fldCharType="begin"/>
            </w:r>
            <w:r w:rsidR="006A0587">
              <w:rPr>
                <w:webHidden/>
              </w:rPr>
              <w:instrText xml:space="preserve"> PAGEREF _Toc112151563 \h </w:instrText>
            </w:r>
            <w:r w:rsidR="006A0587">
              <w:rPr>
                <w:webHidden/>
              </w:rPr>
            </w:r>
            <w:r w:rsidR="006A0587">
              <w:rPr>
                <w:webHidden/>
              </w:rPr>
              <w:fldChar w:fldCharType="separate"/>
            </w:r>
            <w:r w:rsidR="006A0587">
              <w:rPr>
                <w:webHidden/>
              </w:rPr>
              <w:t>20</w:t>
            </w:r>
            <w:r w:rsidR="006A0587">
              <w:rPr>
                <w:webHidden/>
              </w:rPr>
              <w:fldChar w:fldCharType="end"/>
            </w:r>
          </w:hyperlink>
        </w:p>
        <w:p w14:paraId="7243AC66" w14:textId="46D41C98" w:rsidR="006A0587" w:rsidRDefault="008D7C8F">
          <w:pPr>
            <w:pStyle w:val="TOC2"/>
            <w:rPr>
              <w:rFonts w:asciiTheme="minorHAnsi" w:eastAsiaTheme="minorEastAsia" w:hAnsiTheme="minorHAnsi"/>
              <w:lang w:eastAsia="en-AU"/>
            </w:rPr>
          </w:pPr>
          <w:hyperlink w:anchor="_Toc112151564" w:history="1">
            <w:r w:rsidR="006A0587" w:rsidRPr="00B2788B">
              <w:rPr>
                <w:rStyle w:val="Hyperlink"/>
              </w:rPr>
              <w:t>B.1 PFOA</w:t>
            </w:r>
            <w:r w:rsidR="006A0587">
              <w:rPr>
                <w:webHidden/>
              </w:rPr>
              <w:tab/>
            </w:r>
            <w:r w:rsidR="006A0587">
              <w:rPr>
                <w:webHidden/>
              </w:rPr>
              <w:fldChar w:fldCharType="begin"/>
            </w:r>
            <w:r w:rsidR="006A0587">
              <w:rPr>
                <w:webHidden/>
              </w:rPr>
              <w:instrText xml:space="preserve"> PAGEREF _Toc112151564 \h </w:instrText>
            </w:r>
            <w:r w:rsidR="006A0587">
              <w:rPr>
                <w:webHidden/>
              </w:rPr>
            </w:r>
            <w:r w:rsidR="006A0587">
              <w:rPr>
                <w:webHidden/>
              </w:rPr>
              <w:fldChar w:fldCharType="separate"/>
            </w:r>
            <w:r w:rsidR="006A0587">
              <w:rPr>
                <w:webHidden/>
              </w:rPr>
              <w:t>20</w:t>
            </w:r>
            <w:r w:rsidR="006A0587">
              <w:rPr>
                <w:webHidden/>
              </w:rPr>
              <w:fldChar w:fldCharType="end"/>
            </w:r>
          </w:hyperlink>
        </w:p>
        <w:p w14:paraId="2E676F7D" w14:textId="4EA9A1F6" w:rsidR="00764D6A" w:rsidRDefault="00E91D72">
          <w:r>
            <w:rPr>
              <w:b/>
              <w:noProof/>
            </w:rPr>
            <w:fldChar w:fldCharType="end"/>
          </w:r>
        </w:p>
      </w:sdtContent>
    </w:sdt>
    <w:p w14:paraId="512CCEEC" w14:textId="10249A10" w:rsidR="00764D6A" w:rsidRDefault="00E91D72">
      <w:pPr>
        <w:pStyle w:val="TOCHeading2"/>
        <w:rPr>
          <w:rStyle w:val="Strong"/>
        </w:rPr>
      </w:pPr>
      <w:r>
        <w:rPr>
          <w:rStyle w:val="Strong"/>
        </w:rPr>
        <w:t>Tables</w:t>
      </w:r>
    </w:p>
    <w:p w14:paraId="3EA4D224" w14:textId="7DDDAE59" w:rsidR="00180128"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2679539" w:history="1">
        <w:r w:rsidR="00180128" w:rsidRPr="004A2E8E">
          <w:rPr>
            <w:rStyle w:val="Hyperlink"/>
            <w:noProof/>
          </w:rPr>
          <w:t>Table 1 Human health HIL A soil guideline values adopted in PFAS NEMP 3.0</w:t>
        </w:r>
        <w:r w:rsidR="00180128">
          <w:rPr>
            <w:noProof/>
            <w:webHidden/>
          </w:rPr>
          <w:tab/>
        </w:r>
        <w:r w:rsidR="00180128">
          <w:rPr>
            <w:noProof/>
            <w:webHidden/>
          </w:rPr>
          <w:fldChar w:fldCharType="begin"/>
        </w:r>
        <w:r w:rsidR="00180128">
          <w:rPr>
            <w:noProof/>
            <w:webHidden/>
          </w:rPr>
          <w:instrText xml:space="preserve"> PAGEREF _Toc112679539 \h </w:instrText>
        </w:r>
        <w:r w:rsidR="00180128">
          <w:rPr>
            <w:noProof/>
            <w:webHidden/>
          </w:rPr>
        </w:r>
        <w:r w:rsidR="00180128">
          <w:rPr>
            <w:noProof/>
            <w:webHidden/>
          </w:rPr>
          <w:fldChar w:fldCharType="separate"/>
        </w:r>
        <w:r w:rsidR="00180128">
          <w:rPr>
            <w:noProof/>
            <w:webHidden/>
          </w:rPr>
          <w:t>3</w:t>
        </w:r>
        <w:r w:rsidR="00180128">
          <w:rPr>
            <w:noProof/>
            <w:webHidden/>
          </w:rPr>
          <w:fldChar w:fldCharType="end"/>
        </w:r>
      </w:hyperlink>
    </w:p>
    <w:p w14:paraId="541E85EB" w14:textId="3C7EAA30" w:rsidR="00180128" w:rsidRDefault="008D7C8F">
      <w:pPr>
        <w:pStyle w:val="TableofFigures"/>
        <w:tabs>
          <w:tab w:val="right" w:leader="dot" w:pos="9060"/>
        </w:tabs>
        <w:rPr>
          <w:rFonts w:asciiTheme="minorHAnsi" w:eastAsiaTheme="minorEastAsia" w:hAnsiTheme="minorHAnsi"/>
          <w:noProof/>
          <w:lang w:eastAsia="en-AU"/>
        </w:rPr>
      </w:pPr>
      <w:hyperlink w:anchor="_Toc112679540" w:history="1">
        <w:r w:rsidR="00180128" w:rsidRPr="004A2E8E">
          <w:rPr>
            <w:rStyle w:val="Hyperlink"/>
            <w:noProof/>
          </w:rPr>
          <w:t>Table 2 Soil to plant transfer factors used in the calculations for PFOS + PFHxS and PFOA guideline values for residential with garden / accessible soil (HIL A)</w:t>
        </w:r>
        <w:r w:rsidR="00180128">
          <w:rPr>
            <w:noProof/>
            <w:webHidden/>
          </w:rPr>
          <w:tab/>
        </w:r>
        <w:r w:rsidR="00180128">
          <w:rPr>
            <w:noProof/>
            <w:webHidden/>
          </w:rPr>
          <w:fldChar w:fldCharType="begin"/>
        </w:r>
        <w:r w:rsidR="00180128">
          <w:rPr>
            <w:noProof/>
            <w:webHidden/>
          </w:rPr>
          <w:instrText xml:space="preserve"> PAGEREF _Toc112679540 \h </w:instrText>
        </w:r>
        <w:r w:rsidR="00180128">
          <w:rPr>
            <w:noProof/>
            <w:webHidden/>
          </w:rPr>
        </w:r>
        <w:r w:rsidR="00180128">
          <w:rPr>
            <w:noProof/>
            <w:webHidden/>
          </w:rPr>
          <w:fldChar w:fldCharType="separate"/>
        </w:r>
        <w:r w:rsidR="00180128">
          <w:rPr>
            <w:noProof/>
            <w:webHidden/>
          </w:rPr>
          <w:t>5</w:t>
        </w:r>
        <w:r w:rsidR="00180128">
          <w:rPr>
            <w:noProof/>
            <w:webHidden/>
          </w:rPr>
          <w:fldChar w:fldCharType="end"/>
        </w:r>
      </w:hyperlink>
    </w:p>
    <w:p w14:paraId="32047638" w14:textId="18E0EACF" w:rsidR="00180128" w:rsidRDefault="008D7C8F">
      <w:pPr>
        <w:pStyle w:val="TableofFigures"/>
        <w:tabs>
          <w:tab w:val="right" w:leader="dot" w:pos="9060"/>
        </w:tabs>
        <w:rPr>
          <w:rFonts w:asciiTheme="minorHAnsi" w:eastAsiaTheme="minorEastAsia" w:hAnsiTheme="minorHAnsi"/>
          <w:noProof/>
          <w:lang w:eastAsia="en-AU"/>
        </w:rPr>
      </w:pPr>
      <w:hyperlink w:anchor="_Toc112679541" w:history="1">
        <w:r w:rsidR="00180128" w:rsidRPr="004A2E8E">
          <w:rPr>
            <w:rStyle w:val="Hyperlink"/>
            <w:noProof/>
          </w:rPr>
          <w:t>Table 3 PFOS soil to plant transfer factors, for plant categories not included in the ASC NEPM calculations, calculated from data in the listed data sources.</w:t>
        </w:r>
        <w:r w:rsidR="00180128">
          <w:rPr>
            <w:noProof/>
            <w:webHidden/>
          </w:rPr>
          <w:tab/>
        </w:r>
        <w:r w:rsidR="00180128">
          <w:rPr>
            <w:noProof/>
            <w:webHidden/>
          </w:rPr>
          <w:fldChar w:fldCharType="begin"/>
        </w:r>
        <w:r w:rsidR="00180128">
          <w:rPr>
            <w:noProof/>
            <w:webHidden/>
          </w:rPr>
          <w:instrText xml:space="preserve"> PAGEREF _Toc112679541 \h </w:instrText>
        </w:r>
        <w:r w:rsidR="00180128">
          <w:rPr>
            <w:noProof/>
            <w:webHidden/>
          </w:rPr>
        </w:r>
        <w:r w:rsidR="00180128">
          <w:rPr>
            <w:noProof/>
            <w:webHidden/>
          </w:rPr>
          <w:fldChar w:fldCharType="separate"/>
        </w:r>
        <w:r w:rsidR="00180128">
          <w:rPr>
            <w:noProof/>
            <w:webHidden/>
          </w:rPr>
          <w:t>7</w:t>
        </w:r>
        <w:r w:rsidR="00180128">
          <w:rPr>
            <w:noProof/>
            <w:webHidden/>
          </w:rPr>
          <w:fldChar w:fldCharType="end"/>
        </w:r>
      </w:hyperlink>
    </w:p>
    <w:p w14:paraId="703800C2" w14:textId="3E950467" w:rsidR="00180128" w:rsidRDefault="008D7C8F">
      <w:pPr>
        <w:pStyle w:val="TableofFigures"/>
        <w:tabs>
          <w:tab w:val="right" w:leader="dot" w:pos="9060"/>
        </w:tabs>
        <w:rPr>
          <w:rFonts w:asciiTheme="minorHAnsi" w:eastAsiaTheme="minorEastAsia" w:hAnsiTheme="minorHAnsi"/>
          <w:noProof/>
          <w:lang w:eastAsia="en-AU"/>
        </w:rPr>
      </w:pPr>
      <w:hyperlink w:anchor="_Toc112679542" w:history="1">
        <w:r w:rsidR="00180128" w:rsidRPr="004A2E8E">
          <w:rPr>
            <w:rStyle w:val="Hyperlink"/>
            <w:noProof/>
          </w:rPr>
          <w:t>Table 4 PFOA soil to plant transfer factors, for plant categories not included in the ASC NEPM calculations, calculated from data in the listed data sources.</w:t>
        </w:r>
        <w:r w:rsidR="00180128">
          <w:rPr>
            <w:noProof/>
            <w:webHidden/>
          </w:rPr>
          <w:tab/>
        </w:r>
        <w:r w:rsidR="00180128">
          <w:rPr>
            <w:noProof/>
            <w:webHidden/>
          </w:rPr>
          <w:fldChar w:fldCharType="begin"/>
        </w:r>
        <w:r w:rsidR="00180128">
          <w:rPr>
            <w:noProof/>
            <w:webHidden/>
          </w:rPr>
          <w:instrText xml:space="preserve"> PAGEREF _Toc112679542 \h </w:instrText>
        </w:r>
        <w:r w:rsidR="00180128">
          <w:rPr>
            <w:noProof/>
            <w:webHidden/>
          </w:rPr>
        </w:r>
        <w:r w:rsidR="00180128">
          <w:rPr>
            <w:noProof/>
            <w:webHidden/>
          </w:rPr>
          <w:fldChar w:fldCharType="separate"/>
        </w:r>
        <w:r w:rsidR="00180128">
          <w:rPr>
            <w:noProof/>
            <w:webHidden/>
          </w:rPr>
          <w:t>8</w:t>
        </w:r>
        <w:r w:rsidR="00180128">
          <w:rPr>
            <w:noProof/>
            <w:webHidden/>
          </w:rPr>
          <w:fldChar w:fldCharType="end"/>
        </w:r>
      </w:hyperlink>
    </w:p>
    <w:p w14:paraId="08702200" w14:textId="38D3D432" w:rsidR="00DC138B" w:rsidRDefault="00E91D72" w:rsidP="00180128">
      <w:pPr>
        <w:rPr>
          <w:noProof/>
        </w:rPr>
      </w:pPr>
      <w:r>
        <w:rPr>
          <w:noProof/>
        </w:rPr>
        <w:fldChar w:fldCharType="end"/>
      </w:r>
      <w:r w:rsidR="004636DE">
        <w:fldChar w:fldCharType="begin"/>
      </w:r>
      <w:r w:rsidR="004636DE">
        <w:instrText xml:space="preserve"> TOC \c "Table A" </w:instrText>
      </w:r>
      <w:r w:rsidR="004636DE">
        <w:fldChar w:fldCharType="separate"/>
      </w:r>
    </w:p>
    <w:p w14:paraId="50D50D40" w14:textId="33E51653" w:rsidR="00DC138B" w:rsidRDefault="00DC138B">
      <w:pPr>
        <w:pStyle w:val="TableofFigures"/>
        <w:tabs>
          <w:tab w:val="right" w:leader="dot" w:pos="9060"/>
        </w:tabs>
        <w:rPr>
          <w:rFonts w:asciiTheme="minorHAnsi" w:eastAsiaTheme="minorEastAsia" w:hAnsiTheme="minorHAnsi"/>
          <w:noProof/>
          <w:lang w:eastAsia="en-AU"/>
        </w:rPr>
      </w:pPr>
      <w:r>
        <w:rPr>
          <w:noProof/>
        </w:rPr>
        <w:t>Table A1 PFOS soil to plant transfer factors for ASC NEPM plant categories, calculated from data in the listed data sources.</w:t>
      </w:r>
      <w:r>
        <w:rPr>
          <w:noProof/>
        </w:rPr>
        <w:tab/>
      </w:r>
      <w:r>
        <w:rPr>
          <w:noProof/>
        </w:rPr>
        <w:fldChar w:fldCharType="begin"/>
      </w:r>
      <w:r>
        <w:rPr>
          <w:noProof/>
        </w:rPr>
        <w:instrText xml:space="preserve"> PAGEREF _Toc113611830 \h </w:instrText>
      </w:r>
      <w:r>
        <w:rPr>
          <w:noProof/>
        </w:rPr>
      </w:r>
      <w:r>
        <w:rPr>
          <w:noProof/>
        </w:rPr>
        <w:fldChar w:fldCharType="separate"/>
      </w:r>
      <w:r>
        <w:rPr>
          <w:noProof/>
        </w:rPr>
        <w:t>14</w:t>
      </w:r>
      <w:r>
        <w:rPr>
          <w:noProof/>
        </w:rPr>
        <w:fldChar w:fldCharType="end"/>
      </w:r>
    </w:p>
    <w:p w14:paraId="186A3362" w14:textId="784AEC90" w:rsidR="00DC138B" w:rsidRDefault="00DC138B">
      <w:pPr>
        <w:pStyle w:val="TableofFigures"/>
        <w:tabs>
          <w:tab w:val="right" w:leader="dot" w:pos="9060"/>
        </w:tabs>
        <w:rPr>
          <w:rFonts w:asciiTheme="minorHAnsi" w:eastAsiaTheme="minorEastAsia" w:hAnsiTheme="minorHAnsi"/>
          <w:noProof/>
          <w:lang w:eastAsia="en-AU"/>
        </w:rPr>
      </w:pPr>
      <w:r>
        <w:rPr>
          <w:noProof/>
        </w:rPr>
        <w:t>Table A2 The ratio of PFHxS to PFOS TFs based on available PFHxS and PFOS soil to plant transfer factors for ASC NEPM plant categories.</w:t>
      </w:r>
      <w:r>
        <w:rPr>
          <w:noProof/>
        </w:rPr>
        <w:tab/>
      </w:r>
      <w:r>
        <w:rPr>
          <w:noProof/>
        </w:rPr>
        <w:fldChar w:fldCharType="begin"/>
      </w:r>
      <w:r>
        <w:rPr>
          <w:noProof/>
        </w:rPr>
        <w:instrText xml:space="preserve"> PAGEREF _Toc113611831 \h </w:instrText>
      </w:r>
      <w:r>
        <w:rPr>
          <w:noProof/>
        </w:rPr>
      </w:r>
      <w:r>
        <w:rPr>
          <w:noProof/>
        </w:rPr>
        <w:fldChar w:fldCharType="separate"/>
      </w:r>
      <w:r>
        <w:rPr>
          <w:noProof/>
        </w:rPr>
        <w:t>17</w:t>
      </w:r>
      <w:r>
        <w:rPr>
          <w:noProof/>
        </w:rPr>
        <w:fldChar w:fldCharType="end"/>
      </w:r>
    </w:p>
    <w:p w14:paraId="3D41F5FE" w14:textId="0201038D" w:rsidR="00DC138B" w:rsidRDefault="00DC138B">
      <w:pPr>
        <w:pStyle w:val="TableofFigures"/>
        <w:tabs>
          <w:tab w:val="right" w:leader="dot" w:pos="9060"/>
        </w:tabs>
        <w:rPr>
          <w:rFonts w:asciiTheme="minorHAnsi" w:eastAsiaTheme="minorEastAsia" w:hAnsiTheme="minorHAnsi"/>
          <w:noProof/>
          <w:lang w:eastAsia="en-AU"/>
        </w:rPr>
      </w:pPr>
      <w:r>
        <w:rPr>
          <w:noProof/>
        </w:rPr>
        <w:t>Table A3</w:t>
      </w:r>
      <w:r>
        <w:rPr>
          <w:noProof/>
          <w:lang w:eastAsia="ja-JP"/>
        </w:rPr>
        <w:t xml:space="preserve"> </w:t>
      </w:r>
      <w:r>
        <w:rPr>
          <w:noProof/>
        </w:rPr>
        <w:t>PFOS+PFHxS transfer factors for HILs calculator assuming 50% PFOS and 50% PFHxS in soil (by mass) as per Equation A1 and a Multiplier</w:t>
      </w:r>
      <w:r w:rsidRPr="00073F46">
        <w:rPr>
          <w:noProof/>
          <w:vertAlign w:val="subscript"/>
        </w:rPr>
        <w:t>PFHxS</w:t>
      </w:r>
      <w:r>
        <w:rPr>
          <w:noProof/>
        </w:rPr>
        <w:t xml:space="preserve"> of 6.9.</w:t>
      </w:r>
      <w:r>
        <w:rPr>
          <w:noProof/>
        </w:rPr>
        <w:tab/>
      </w:r>
      <w:r>
        <w:rPr>
          <w:noProof/>
        </w:rPr>
        <w:fldChar w:fldCharType="begin"/>
      </w:r>
      <w:r>
        <w:rPr>
          <w:noProof/>
        </w:rPr>
        <w:instrText xml:space="preserve"> PAGEREF _Toc113611832 \h </w:instrText>
      </w:r>
      <w:r>
        <w:rPr>
          <w:noProof/>
        </w:rPr>
      </w:r>
      <w:r>
        <w:rPr>
          <w:noProof/>
        </w:rPr>
        <w:fldChar w:fldCharType="separate"/>
      </w:r>
      <w:r>
        <w:rPr>
          <w:noProof/>
        </w:rPr>
        <w:t>18</w:t>
      </w:r>
      <w:r>
        <w:rPr>
          <w:noProof/>
        </w:rPr>
        <w:fldChar w:fldCharType="end"/>
      </w:r>
    </w:p>
    <w:p w14:paraId="2686DE60" w14:textId="034D06AA" w:rsidR="00DC138B" w:rsidRDefault="00DC138B">
      <w:pPr>
        <w:pStyle w:val="TableofFigures"/>
        <w:tabs>
          <w:tab w:val="right" w:leader="dot" w:pos="9060"/>
        </w:tabs>
        <w:rPr>
          <w:rFonts w:asciiTheme="minorHAnsi" w:eastAsiaTheme="minorEastAsia" w:hAnsiTheme="minorHAnsi"/>
          <w:noProof/>
          <w:lang w:eastAsia="en-AU"/>
        </w:rPr>
      </w:pPr>
      <w:r>
        <w:rPr>
          <w:noProof/>
        </w:rPr>
        <w:t>Table A4 PFOA soil to plant transfer factors (TF as mg/kg</w:t>
      </w:r>
      <w:r w:rsidRPr="00073F46">
        <w:rPr>
          <w:noProof/>
          <w:vertAlign w:val="subscript"/>
        </w:rPr>
        <w:t>plant</w:t>
      </w:r>
      <w:r>
        <w:rPr>
          <w:noProof/>
        </w:rPr>
        <w:t xml:space="preserve"> / mg/kg</w:t>
      </w:r>
      <w:r w:rsidRPr="00073F46">
        <w:rPr>
          <w:noProof/>
          <w:vertAlign w:val="subscript"/>
        </w:rPr>
        <w:t>soil</w:t>
      </w:r>
      <w:r>
        <w:rPr>
          <w:noProof/>
        </w:rPr>
        <w:t>) for ASC NEPM plant categories, calculated from data in the listed data sources. DW = dry weight; WW = wet weight; NR = not required as plant concentrations on wet weight basis were available.</w:t>
      </w:r>
      <w:r>
        <w:rPr>
          <w:noProof/>
        </w:rPr>
        <w:tab/>
      </w:r>
      <w:r>
        <w:rPr>
          <w:noProof/>
        </w:rPr>
        <w:fldChar w:fldCharType="begin"/>
      </w:r>
      <w:r>
        <w:rPr>
          <w:noProof/>
        </w:rPr>
        <w:instrText xml:space="preserve"> PAGEREF _Toc113611833 \h </w:instrText>
      </w:r>
      <w:r>
        <w:rPr>
          <w:noProof/>
        </w:rPr>
      </w:r>
      <w:r>
        <w:rPr>
          <w:noProof/>
        </w:rPr>
        <w:fldChar w:fldCharType="separate"/>
      </w:r>
      <w:r>
        <w:rPr>
          <w:noProof/>
        </w:rPr>
        <w:t>19</w:t>
      </w:r>
      <w:r>
        <w:rPr>
          <w:noProof/>
        </w:rPr>
        <w:fldChar w:fldCharType="end"/>
      </w:r>
    </w:p>
    <w:p w14:paraId="62414CBE" w14:textId="77777777" w:rsidR="00180128" w:rsidRDefault="004636DE" w:rsidP="004636DE">
      <w:pPr>
        <w:rPr>
          <w:noProof/>
        </w:rPr>
      </w:pPr>
      <w:r>
        <w:lastRenderedPageBreak/>
        <w:fldChar w:fldCharType="end"/>
      </w:r>
      <w:r w:rsidR="00180128">
        <w:fldChar w:fldCharType="begin"/>
      </w:r>
      <w:r w:rsidR="00180128">
        <w:instrText xml:space="preserve"> TOC \c "Table B" </w:instrText>
      </w:r>
      <w:r w:rsidR="00180128">
        <w:fldChar w:fldCharType="separate"/>
      </w:r>
    </w:p>
    <w:p w14:paraId="7E29F5AD" w14:textId="0753860B" w:rsidR="00180128" w:rsidRDefault="00180128">
      <w:pPr>
        <w:pStyle w:val="TableofFigures"/>
        <w:tabs>
          <w:tab w:val="right" w:leader="dot" w:pos="9060"/>
        </w:tabs>
        <w:rPr>
          <w:rFonts w:asciiTheme="minorHAnsi" w:eastAsiaTheme="minorEastAsia" w:hAnsiTheme="minorHAnsi"/>
          <w:noProof/>
          <w:lang w:eastAsia="en-AU"/>
        </w:rPr>
      </w:pPr>
      <w:r>
        <w:rPr>
          <w:noProof/>
        </w:rPr>
        <w:t>Table B1 Comparison of PFOS + PFHxS transfer factors for deriving a HIL A criteria based on TFs from OEH (2019) and TFs based on Bao et al. 2020 and Lasee et al. 2020.</w:t>
      </w:r>
      <w:r>
        <w:rPr>
          <w:noProof/>
        </w:rPr>
        <w:tab/>
      </w:r>
      <w:r>
        <w:rPr>
          <w:noProof/>
        </w:rPr>
        <w:fldChar w:fldCharType="begin"/>
      </w:r>
      <w:r>
        <w:rPr>
          <w:noProof/>
        </w:rPr>
        <w:instrText xml:space="preserve"> PAGEREF _Toc112679565 \h </w:instrText>
      </w:r>
      <w:r>
        <w:rPr>
          <w:noProof/>
        </w:rPr>
      </w:r>
      <w:r>
        <w:rPr>
          <w:noProof/>
        </w:rPr>
        <w:fldChar w:fldCharType="separate"/>
      </w:r>
      <w:r>
        <w:rPr>
          <w:noProof/>
        </w:rPr>
        <w:t>21</w:t>
      </w:r>
      <w:r>
        <w:rPr>
          <w:noProof/>
        </w:rPr>
        <w:fldChar w:fldCharType="end"/>
      </w:r>
    </w:p>
    <w:p w14:paraId="2A0046ED" w14:textId="472E9CC7" w:rsidR="004636DE" w:rsidRDefault="00180128" w:rsidP="004636DE">
      <w:r>
        <w:fldChar w:fldCharType="end"/>
      </w:r>
    </w:p>
    <w:p w14:paraId="50BE7AEF" w14:textId="74DF1876" w:rsidR="00764D6A" w:rsidRDefault="00E91D72" w:rsidP="004F35C7">
      <w:pPr>
        <w:pStyle w:val="Heading2"/>
        <w:numPr>
          <w:ilvl w:val="0"/>
          <w:numId w:val="0"/>
        </w:numPr>
        <w:ind w:left="720" w:hanging="720"/>
      </w:pPr>
      <w:bookmarkStart w:id="4" w:name="_Toc430782150"/>
      <w:bookmarkStart w:id="5" w:name="_Toc112151552"/>
      <w:r>
        <w:lastRenderedPageBreak/>
        <w:t>Introduction</w:t>
      </w:r>
      <w:bookmarkEnd w:id="4"/>
      <w:bookmarkEnd w:id="5"/>
    </w:p>
    <w:p w14:paraId="4BBC3D19" w14:textId="77777777" w:rsidR="00693672" w:rsidRDefault="00693672" w:rsidP="00693672">
      <w:bookmarkStart w:id="6" w:name="_Ref445985033"/>
      <w:bookmarkStart w:id="7" w:name="_Toc409769171"/>
      <w:r>
        <w:t>This information supporting paper presents information on the derivation of the human health soil guideline values (GVs) for PFAS for the land use scenario ‘residential with garden/accessible soil’, which are adopted and published in the PFAS National Environmental Management Plan (NEMP) 3.0. These GVs were derived using a methodology consistent with assumptions set out in the ASC NEPM for the health investigation levels (HILs). Note these values have not been derived under the ASC NEPM.</w:t>
      </w:r>
    </w:p>
    <w:p w14:paraId="3999C8A7" w14:textId="0F80CD63" w:rsidR="00BF4EB3" w:rsidRDefault="00693672" w:rsidP="00693672">
      <w:r>
        <w:t>This document also provides a summary of the soil to plant transfer factors (TFs) extracted during a literature review. This information is intended to support risk assessments for PFAS investigations where specific scenarios may need to be considered.</w:t>
      </w:r>
    </w:p>
    <w:p w14:paraId="0E8377B1" w14:textId="5F9C42E9" w:rsidR="00BF4EB3" w:rsidRDefault="00111862" w:rsidP="00BF4EB3">
      <w:pPr>
        <w:rPr>
          <w:rFonts w:ascii="Calibri" w:eastAsiaTheme="minorEastAsia" w:hAnsi="Calibri"/>
          <w:bCs/>
          <w:color w:val="006642"/>
          <w:sz w:val="56"/>
          <w:szCs w:val="28"/>
          <w:lang w:eastAsia="ja-JP"/>
        </w:rPr>
      </w:pPr>
      <w:r w:rsidRPr="00111862">
        <w:rPr>
          <w:rFonts w:ascii="Calibri" w:eastAsiaTheme="minorEastAsia" w:hAnsi="Calibri"/>
          <w:bCs/>
          <w:color w:val="006642"/>
          <w:sz w:val="56"/>
          <w:szCs w:val="28"/>
          <w:lang w:eastAsia="ja-JP"/>
        </w:rPr>
        <w:t>Background</w:t>
      </w:r>
    </w:p>
    <w:p w14:paraId="0E582711" w14:textId="45189190" w:rsidR="00C655E2" w:rsidRDefault="00C655E2" w:rsidP="00C655E2">
      <w:r w:rsidRPr="00C040D6">
        <w:t xml:space="preserve">At the request of Environment Ministers around Australia, the Heads of EPAs </w:t>
      </w:r>
      <w:r w:rsidR="004C5C78" w:rsidRPr="00C040D6">
        <w:t>Australia,</w:t>
      </w:r>
      <w:r w:rsidRPr="00C040D6">
        <w:t xml:space="preserve"> and New Zealand (HEPA) and the Australian Government Department </w:t>
      </w:r>
      <w:r w:rsidR="00987703" w:rsidRPr="00987703">
        <w:t xml:space="preserve">of Climate Change, Energy, the Environment and Water </w:t>
      </w:r>
      <w:r w:rsidRPr="00C040D6">
        <w:t>(</w:t>
      </w:r>
      <w:r w:rsidR="00987703">
        <w:t>DCCEEW</w:t>
      </w:r>
      <w:r w:rsidRPr="00C040D6">
        <w:t>) collaborated to develop and publish the PFAS NEMP</w:t>
      </w:r>
      <w:r>
        <w:t xml:space="preserve"> </w:t>
      </w:r>
      <w:r w:rsidRPr="00C040D6">
        <w:t>(NEMP 1.0 in February 2018</w:t>
      </w:r>
      <w:r>
        <w:t xml:space="preserve">, </w:t>
      </w:r>
      <w:r w:rsidRPr="00C040D6">
        <w:t>NEMP 2.0 in January 2020</w:t>
      </w:r>
      <w:r>
        <w:t xml:space="preserve"> and </w:t>
      </w:r>
      <w:r w:rsidRPr="0023223A">
        <w:t>draft</w:t>
      </w:r>
      <w:r>
        <w:t xml:space="preserve"> NEMP 3.0 in </w:t>
      </w:r>
      <w:r w:rsidR="00E0710E">
        <w:t xml:space="preserve">August </w:t>
      </w:r>
      <w:r w:rsidR="000665C3">
        <w:t>2022</w:t>
      </w:r>
      <w:r w:rsidR="00DB23E4">
        <w:t>)</w:t>
      </w:r>
      <w:r w:rsidR="000665C3">
        <w:t>.</w:t>
      </w:r>
    </w:p>
    <w:p w14:paraId="66DF5E4A" w14:textId="2874B124" w:rsidR="00C655E2" w:rsidRDefault="00C655E2" w:rsidP="00C655E2">
      <w:r w:rsidRPr="00C040D6">
        <w:t>The NEMP provides a nationally consistent approach to environmental management of PFAS.</w:t>
      </w:r>
      <w:r>
        <w:t xml:space="preserve"> </w:t>
      </w:r>
      <w:r w:rsidRPr="00C040D6">
        <w:t xml:space="preserve">Included in the NEMP </w:t>
      </w:r>
      <w:r>
        <w:t xml:space="preserve">are </w:t>
      </w:r>
      <w:r w:rsidRPr="006C73B0">
        <w:t xml:space="preserve">human health </w:t>
      </w:r>
      <w:r>
        <w:t>soil GVs, derived using a methodology consistent with assumptions set out in the ASC NEPM for the HILs. The HILs are designed to be protective of human health under different land use scenarios, including</w:t>
      </w:r>
      <w:r w:rsidR="0023223A">
        <w:t>:</w:t>
      </w:r>
      <w:r>
        <w:t xml:space="preserve">  </w:t>
      </w:r>
    </w:p>
    <w:p w14:paraId="22311B2F" w14:textId="77777777" w:rsidR="00C655E2" w:rsidRPr="00C655E2" w:rsidRDefault="00C655E2" w:rsidP="00C655E2">
      <w:pPr>
        <w:pStyle w:val="Tabletext"/>
        <w:rPr>
          <w:rFonts w:ascii="Cambria" w:eastAsiaTheme="minorHAnsi" w:hAnsi="Cambria" w:cstheme="minorBidi"/>
        </w:rPr>
      </w:pPr>
      <w:r w:rsidRPr="00C655E2">
        <w:rPr>
          <w:rFonts w:ascii="Cambria" w:eastAsiaTheme="minorHAnsi" w:hAnsi="Cambria" w:cstheme="minorBidi"/>
        </w:rPr>
        <w:t>Residential with garden/accessible soil (HIL A)</w:t>
      </w:r>
    </w:p>
    <w:p w14:paraId="50EC9139" w14:textId="77777777" w:rsidR="00C655E2" w:rsidRPr="00C655E2" w:rsidRDefault="00C655E2" w:rsidP="00C655E2">
      <w:pPr>
        <w:pStyle w:val="Tabletext"/>
        <w:rPr>
          <w:rFonts w:ascii="Cambria" w:eastAsiaTheme="minorHAnsi" w:hAnsi="Cambria" w:cstheme="minorBidi"/>
        </w:rPr>
      </w:pPr>
      <w:r w:rsidRPr="00C655E2">
        <w:rPr>
          <w:rFonts w:ascii="Cambria" w:eastAsiaTheme="minorHAnsi" w:hAnsi="Cambria" w:cstheme="minorBidi"/>
        </w:rPr>
        <w:t>Residential with minimal opportunities for soil access (HIL B)</w:t>
      </w:r>
    </w:p>
    <w:p w14:paraId="1E8C058F" w14:textId="77777777" w:rsidR="00C655E2" w:rsidRPr="00C655E2" w:rsidRDefault="00C655E2" w:rsidP="00C655E2">
      <w:pPr>
        <w:pStyle w:val="Tabletext"/>
        <w:rPr>
          <w:rFonts w:ascii="Cambria" w:eastAsiaTheme="minorHAnsi" w:hAnsi="Cambria" w:cstheme="minorBidi"/>
        </w:rPr>
      </w:pPr>
      <w:r w:rsidRPr="00C655E2">
        <w:rPr>
          <w:rFonts w:ascii="Cambria" w:eastAsiaTheme="minorHAnsi" w:hAnsi="Cambria" w:cstheme="minorBidi"/>
        </w:rPr>
        <w:t>Public open space (HIL C)</w:t>
      </w:r>
    </w:p>
    <w:p w14:paraId="7CBE0E38" w14:textId="77777777" w:rsidR="00C655E2" w:rsidRPr="00C655E2" w:rsidRDefault="00C655E2" w:rsidP="00C655E2">
      <w:pPr>
        <w:pStyle w:val="Tabletext"/>
        <w:rPr>
          <w:rFonts w:ascii="Cambria" w:eastAsiaTheme="minorHAnsi" w:hAnsi="Cambria" w:cstheme="minorBidi"/>
        </w:rPr>
      </w:pPr>
      <w:r w:rsidRPr="00C655E2">
        <w:rPr>
          <w:rFonts w:ascii="Cambria" w:eastAsiaTheme="minorHAnsi" w:hAnsi="Cambria" w:cstheme="minorBidi"/>
        </w:rPr>
        <w:t>Industrial/ commercial (HIL D).</w:t>
      </w:r>
    </w:p>
    <w:p w14:paraId="2234814B" w14:textId="77777777" w:rsidR="00C655E2" w:rsidRDefault="00C655E2" w:rsidP="00C655E2">
      <w:r w:rsidRPr="002161BC">
        <w:t xml:space="preserve">For PFAS, the most sensitive pathway is that for </w:t>
      </w:r>
      <w:r>
        <w:t xml:space="preserve">the </w:t>
      </w:r>
      <w:r w:rsidRPr="002161BC">
        <w:t>HIL A</w:t>
      </w:r>
      <w:r>
        <w:t xml:space="preserve"> </w:t>
      </w:r>
      <w:r w:rsidRPr="002161BC">
        <w:t>because of the potential for</w:t>
      </w:r>
      <w:r>
        <w:t xml:space="preserve"> human exposure through</w:t>
      </w:r>
      <w:r w:rsidRPr="002161BC">
        <w:t xml:space="preserve"> PFAS uptake into </w:t>
      </w:r>
      <w:r>
        <w:t xml:space="preserve">edible </w:t>
      </w:r>
      <w:r w:rsidRPr="002161BC">
        <w:t xml:space="preserve">plants from soil, </w:t>
      </w:r>
      <w:r>
        <w:t xml:space="preserve">and therefore the HIL A is the focus of this document. The PFAS considered in this document are the sum of PFOS and </w:t>
      </w:r>
      <w:proofErr w:type="spellStart"/>
      <w:r>
        <w:t>PFHxS</w:t>
      </w:r>
      <w:proofErr w:type="spellEnd"/>
      <w:r>
        <w:t xml:space="preserve"> (expressed as PFOS + </w:t>
      </w:r>
      <w:proofErr w:type="spellStart"/>
      <w:r>
        <w:t>PFHxS</w:t>
      </w:r>
      <w:proofErr w:type="spellEnd"/>
      <w:r>
        <w:t xml:space="preserve">) and PFOA. </w:t>
      </w:r>
    </w:p>
    <w:p w14:paraId="5350D2F7" w14:textId="6E1CF602" w:rsidR="00C655E2" w:rsidRDefault="00C655E2" w:rsidP="00C655E2">
      <w:r>
        <w:t>T</w:t>
      </w:r>
      <w:r w:rsidRPr="00543E20">
        <w:t xml:space="preserve">his work has been undertaken over several stages. </w:t>
      </w:r>
      <w:r>
        <w:t xml:space="preserve">HIL A values for PFOS + </w:t>
      </w:r>
      <w:proofErr w:type="spellStart"/>
      <w:r>
        <w:t>PFHxS</w:t>
      </w:r>
      <w:proofErr w:type="spellEnd"/>
      <w:r>
        <w:t xml:space="preserve"> and PFOA were </w:t>
      </w:r>
      <w:r w:rsidRPr="00543E20">
        <w:t xml:space="preserve">published in the NEMP 2.0, for which the supporting information was </w:t>
      </w:r>
      <w:r>
        <w:t>presented</w:t>
      </w:r>
      <w:r w:rsidRPr="00543E20">
        <w:t xml:space="preserve"> in OEH (2019). As part of this work, a key data gap identified was the limited information on soil to plant </w:t>
      </w:r>
      <w:r>
        <w:t xml:space="preserve">TFs </w:t>
      </w:r>
      <w:r w:rsidRPr="00543E20">
        <w:t xml:space="preserve">for PFOA. </w:t>
      </w:r>
      <w:r>
        <w:t>Therefore, in 2021 a review of available data was conducted to determine if the HIL A value listed for PFOA</w:t>
      </w:r>
      <w:r w:rsidR="00281ABF">
        <w:t xml:space="preserve"> in NEMP 2.0</w:t>
      </w:r>
      <w:r>
        <w:t xml:space="preserve"> is appropriate. After the review of new information, it was concluded that the HIL A soil guidance values listed in NEMP 2.0 are appropriate and have been retained in NEMP 3.0 (see Table 1). </w:t>
      </w:r>
    </w:p>
    <w:p w14:paraId="08BFD2A5" w14:textId="77777777" w:rsidR="00111862" w:rsidRPr="00111862" w:rsidRDefault="00111862" w:rsidP="00BF4EB3">
      <w:pPr>
        <w:rPr>
          <w:rFonts w:ascii="Calibri" w:eastAsiaTheme="minorEastAsia" w:hAnsi="Calibri"/>
          <w:bCs/>
          <w:color w:val="006642"/>
          <w:sz w:val="56"/>
          <w:szCs w:val="28"/>
          <w:lang w:eastAsia="ja-JP"/>
        </w:rPr>
      </w:pPr>
    </w:p>
    <w:p w14:paraId="0D5D43B6" w14:textId="67EB3BF9" w:rsidR="004047A7" w:rsidRPr="004047A7" w:rsidRDefault="00E91D72" w:rsidP="008D41B7">
      <w:pPr>
        <w:pStyle w:val="Caption"/>
      </w:pPr>
      <w:bookmarkStart w:id="8" w:name="_Toc112679539"/>
      <w:r>
        <w:lastRenderedPageBreak/>
        <w:t xml:space="preserve">Table </w:t>
      </w:r>
      <w:r>
        <w:rPr>
          <w:noProof/>
        </w:rPr>
        <w:fldChar w:fldCharType="begin"/>
      </w:r>
      <w:r>
        <w:rPr>
          <w:noProof/>
        </w:rPr>
        <w:instrText xml:space="preserve"> SEQ Table \* ARABIC </w:instrText>
      </w:r>
      <w:r>
        <w:rPr>
          <w:noProof/>
        </w:rPr>
        <w:fldChar w:fldCharType="separate"/>
      </w:r>
      <w:r w:rsidR="00C96EE9">
        <w:rPr>
          <w:noProof/>
        </w:rPr>
        <w:t>1</w:t>
      </w:r>
      <w:r>
        <w:rPr>
          <w:noProof/>
        </w:rPr>
        <w:fldChar w:fldCharType="end"/>
      </w:r>
      <w:bookmarkEnd w:id="6"/>
      <w:r>
        <w:t xml:space="preserve"> </w:t>
      </w:r>
      <w:bookmarkEnd w:id="7"/>
      <w:r w:rsidR="004047A7" w:rsidRPr="00DA5164">
        <w:t>Human health HIL A soil guideline values adopted in PFAS NEMP 3.0</w:t>
      </w:r>
      <w:bookmarkEnd w:id="8"/>
    </w:p>
    <w:tbl>
      <w:tblPr>
        <w:tblW w:w="4862"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Caption w:val="Table 1 Human health HIL A soil guideline values adopted in PFAS NEMP 3.0"/>
        <w:tblDescription w:val="This table shows soil guideline values and should only be used to assess potential human exposure through direct soil contact. For a scenario of 10% home produce consumed the sum of Sum of PFOS and PFHxS = 0.01 mg/kg, for PFOA 0.1 mg/kg. For a scenario of 50% home produce consumed the sum of Sum of PFOS and PFHxS = 0.002 mg/kg, for PFOA 0.02 mg/kg."/>
      </w:tblPr>
      <w:tblGrid>
        <w:gridCol w:w="2370"/>
        <w:gridCol w:w="3260"/>
        <w:gridCol w:w="284"/>
        <w:gridCol w:w="2906"/>
      </w:tblGrid>
      <w:tr w:rsidR="005475BF" w14:paraId="7BF60FC3" w14:textId="77777777" w:rsidTr="00047D3B">
        <w:trPr>
          <w:trHeight w:val="329"/>
          <w:tblHeader/>
        </w:trPr>
        <w:tc>
          <w:tcPr>
            <w:tcW w:w="2370" w:type="dxa"/>
            <w:tcMar>
              <w:left w:w="108" w:type="dxa"/>
              <w:right w:w="108" w:type="dxa"/>
            </w:tcMar>
          </w:tcPr>
          <w:p w14:paraId="2F3CD50D" w14:textId="77777777" w:rsidR="001E3484" w:rsidRDefault="001E3484" w:rsidP="00F82F27">
            <w:pPr>
              <w:pStyle w:val="TableHeading"/>
              <w:keepNext w:val="0"/>
              <w:rPr>
                <w:sz w:val="20"/>
                <w:szCs w:val="24"/>
              </w:rPr>
            </w:pPr>
          </w:p>
          <w:p w14:paraId="4ADBE9DA" w14:textId="5EE128C3" w:rsidR="005475BF" w:rsidRPr="00051A87" w:rsidRDefault="005475BF" w:rsidP="00F82F27">
            <w:pPr>
              <w:pStyle w:val="TableHeading"/>
              <w:keepNext w:val="0"/>
              <w:rPr>
                <w:sz w:val="20"/>
                <w:szCs w:val="24"/>
              </w:rPr>
            </w:pPr>
            <w:r w:rsidRPr="00051A87">
              <w:rPr>
                <w:sz w:val="20"/>
                <w:szCs w:val="24"/>
              </w:rPr>
              <w:t>Category</w:t>
            </w:r>
          </w:p>
        </w:tc>
        <w:tc>
          <w:tcPr>
            <w:tcW w:w="3260" w:type="dxa"/>
            <w:tcMar>
              <w:left w:w="108" w:type="dxa"/>
              <w:right w:w="108" w:type="dxa"/>
            </w:tcMar>
          </w:tcPr>
          <w:p w14:paraId="5D2B614A" w14:textId="6149F1CF" w:rsidR="00E1205D" w:rsidRPr="00051A87" w:rsidRDefault="00362EC5" w:rsidP="00585D68">
            <w:pPr>
              <w:pStyle w:val="TableHeading"/>
              <w:jc w:val="center"/>
              <w:rPr>
                <w:sz w:val="20"/>
                <w:szCs w:val="24"/>
              </w:rPr>
            </w:pPr>
            <w:r w:rsidRPr="00051A87">
              <w:rPr>
                <w:sz w:val="20"/>
                <w:szCs w:val="24"/>
              </w:rPr>
              <w:t>HIL A</w:t>
            </w:r>
          </w:p>
          <w:p w14:paraId="71A73AF7" w14:textId="0D75041C" w:rsidR="005475BF" w:rsidRPr="00051A87" w:rsidRDefault="00362EC5" w:rsidP="00585D68">
            <w:pPr>
              <w:pStyle w:val="TableHeading"/>
              <w:jc w:val="center"/>
              <w:rPr>
                <w:sz w:val="20"/>
                <w:szCs w:val="24"/>
              </w:rPr>
            </w:pPr>
            <w:r w:rsidRPr="00051A87">
              <w:rPr>
                <w:sz w:val="20"/>
                <w:szCs w:val="24"/>
              </w:rPr>
              <w:t>(10% home produce consumed)</w:t>
            </w:r>
          </w:p>
        </w:tc>
        <w:tc>
          <w:tcPr>
            <w:tcW w:w="3190" w:type="dxa"/>
            <w:gridSpan w:val="2"/>
            <w:tcMar>
              <w:left w:w="108" w:type="dxa"/>
              <w:right w:w="108" w:type="dxa"/>
            </w:tcMar>
          </w:tcPr>
          <w:p w14:paraId="5DA018DB" w14:textId="577B5EA2" w:rsidR="00E1205D" w:rsidRPr="00051A87" w:rsidRDefault="008673C0" w:rsidP="00585D68">
            <w:pPr>
              <w:pStyle w:val="TableHeading"/>
              <w:jc w:val="center"/>
              <w:rPr>
                <w:sz w:val="20"/>
                <w:szCs w:val="24"/>
              </w:rPr>
            </w:pPr>
            <w:r w:rsidRPr="00051A87">
              <w:rPr>
                <w:sz w:val="20"/>
                <w:szCs w:val="24"/>
              </w:rPr>
              <w:t>HIL A</w:t>
            </w:r>
          </w:p>
          <w:p w14:paraId="507E9466" w14:textId="77777777" w:rsidR="005475BF" w:rsidRDefault="008673C0" w:rsidP="00585D68">
            <w:pPr>
              <w:pStyle w:val="TableHeading"/>
              <w:jc w:val="center"/>
              <w:rPr>
                <w:sz w:val="20"/>
                <w:szCs w:val="24"/>
              </w:rPr>
            </w:pPr>
            <w:r w:rsidRPr="00051A87">
              <w:rPr>
                <w:sz w:val="20"/>
                <w:szCs w:val="24"/>
              </w:rPr>
              <w:t>(50% home produce consumed)</w:t>
            </w:r>
          </w:p>
          <w:p w14:paraId="378E0FB7" w14:textId="6D5E2A03" w:rsidR="001E3484" w:rsidRPr="00051A87" w:rsidRDefault="001E3484" w:rsidP="00585D68">
            <w:pPr>
              <w:pStyle w:val="TableHeading"/>
              <w:jc w:val="center"/>
              <w:rPr>
                <w:sz w:val="20"/>
                <w:szCs w:val="24"/>
              </w:rPr>
            </w:pPr>
          </w:p>
        </w:tc>
      </w:tr>
      <w:tr w:rsidR="005475BF" w14:paraId="05AE2CB8" w14:textId="77777777" w:rsidTr="00047D3B">
        <w:trPr>
          <w:trHeight w:val="548"/>
        </w:trPr>
        <w:tc>
          <w:tcPr>
            <w:tcW w:w="2370" w:type="dxa"/>
            <w:tcMar>
              <w:left w:w="108" w:type="dxa"/>
              <w:right w:w="108" w:type="dxa"/>
            </w:tcMar>
          </w:tcPr>
          <w:p w14:paraId="29C7AA65" w14:textId="31E217E4" w:rsidR="005475BF" w:rsidRPr="00051A87" w:rsidRDefault="00143D7E" w:rsidP="00C003C5">
            <w:pPr>
              <w:pStyle w:val="TableText0"/>
              <w:rPr>
                <w:sz w:val="20"/>
                <w:szCs w:val="24"/>
              </w:rPr>
            </w:pPr>
            <w:r w:rsidRPr="00051A87">
              <w:rPr>
                <w:sz w:val="20"/>
                <w:szCs w:val="24"/>
              </w:rPr>
              <w:t xml:space="preserve">Sum of PFOS and </w:t>
            </w:r>
            <w:proofErr w:type="spellStart"/>
            <w:r w:rsidRPr="00051A87">
              <w:rPr>
                <w:sz w:val="20"/>
                <w:szCs w:val="24"/>
              </w:rPr>
              <w:t>PFHxS</w:t>
            </w:r>
            <w:proofErr w:type="spellEnd"/>
          </w:p>
        </w:tc>
        <w:tc>
          <w:tcPr>
            <w:tcW w:w="3544" w:type="dxa"/>
            <w:gridSpan w:val="2"/>
            <w:tcMar>
              <w:left w:w="108" w:type="dxa"/>
              <w:right w:w="108" w:type="dxa"/>
            </w:tcMar>
          </w:tcPr>
          <w:p w14:paraId="6BE0B696" w14:textId="31E8DBCC" w:rsidR="005475BF" w:rsidRPr="00051A87" w:rsidRDefault="005B2180" w:rsidP="00585D68">
            <w:pPr>
              <w:pStyle w:val="TableText0"/>
              <w:jc w:val="center"/>
              <w:rPr>
                <w:sz w:val="20"/>
                <w:szCs w:val="24"/>
              </w:rPr>
            </w:pPr>
            <w:r w:rsidRPr="00051A87">
              <w:rPr>
                <w:sz w:val="20"/>
                <w:szCs w:val="24"/>
              </w:rPr>
              <w:t>0.01 mg/kg</w:t>
            </w:r>
          </w:p>
        </w:tc>
        <w:tc>
          <w:tcPr>
            <w:tcW w:w="2906" w:type="dxa"/>
            <w:tcMar>
              <w:left w:w="108" w:type="dxa"/>
              <w:right w:w="108" w:type="dxa"/>
            </w:tcMar>
          </w:tcPr>
          <w:p w14:paraId="26C986CA" w14:textId="4A9860CE" w:rsidR="005475BF" w:rsidRPr="00051A87" w:rsidRDefault="007562A9" w:rsidP="00585D68">
            <w:pPr>
              <w:pStyle w:val="TableText0"/>
              <w:jc w:val="center"/>
              <w:rPr>
                <w:sz w:val="20"/>
                <w:szCs w:val="24"/>
              </w:rPr>
            </w:pPr>
            <w:r w:rsidRPr="00051A87">
              <w:rPr>
                <w:sz w:val="20"/>
                <w:szCs w:val="24"/>
              </w:rPr>
              <w:t>0.002 mg/kg</w:t>
            </w:r>
          </w:p>
        </w:tc>
      </w:tr>
      <w:tr w:rsidR="005475BF" w14:paraId="73AB1BF6" w14:textId="77777777" w:rsidTr="00047D3B">
        <w:trPr>
          <w:trHeight w:val="548"/>
        </w:trPr>
        <w:tc>
          <w:tcPr>
            <w:tcW w:w="2370" w:type="dxa"/>
            <w:tcMar>
              <w:left w:w="108" w:type="dxa"/>
              <w:right w:w="108" w:type="dxa"/>
            </w:tcMar>
          </w:tcPr>
          <w:p w14:paraId="05F63164" w14:textId="7E0C6BE1" w:rsidR="005475BF" w:rsidRPr="00051A87" w:rsidRDefault="00800E36" w:rsidP="00C003C5">
            <w:pPr>
              <w:pStyle w:val="TableText0"/>
              <w:rPr>
                <w:sz w:val="20"/>
                <w:szCs w:val="24"/>
              </w:rPr>
            </w:pPr>
            <w:r w:rsidRPr="00051A87">
              <w:rPr>
                <w:sz w:val="20"/>
                <w:szCs w:val="24"/>
              </w:rPr>
              <w:t>PFOA</w:t>
            </w:r>
          </w:p>
        </w:tc>
        <w:tc>
          <w:tcPr>
            <w:tcW w:w="3544" w:type="dxa"/>
            <w:gridSpan w:val="2"/>
            <w:tcMar>
              <w:left w:w="108" w:type="dxa"/>
              <w:right w:w="108" w:type="dxa"/>
            </w:tcMar>
          </w:tcPr>
          <w:p w14:paraId="50D172B0" w14:textId="086A0C55" w:rsidR="005475BF" w:rsidRPr="00051A87" w:rsidRDefault="00972CD9" w:rsidP="00585D68">
            <w:pPr>
              <w:pStyle w:val="TableText0"/>
              <w:jc w:val="center"/>
              <w:rPr>
                <w:sz w:val="20"/>
                <w:szCs w:val="24"/>
              </w:rPr>
            </w:pPr>
            <w:r w:rsidRPr="00051A87">
              <w:rPr>
                <w:sz w:val="20"/>
                <w:szCs w:val="24"/>
              </w:rPr>
              <w:t>0.1 mg/kg</w:t>
            </w:r>
          </w:p>
        </w:tc>
        <w:tc>
          <w:tcPr>
            <w:tcW w:w="2906" w:type="dxa"/>
            <w:tcMar>
              <w:left w:w="108" w:type="dxa"/>
              <w:right w:w="108" w:type="dxa"/>
            </w:tcMar>
          </w:tcPr>
          <w:p w14:paraId="0E29ADF8" w14:textId="7B67C4F9" w:rsidR="005475BF" w:rsidRPr="00051A87" w:rsidRDefault="0032219A" w:rsidP="00585D68">
            <w:pPr>
              <w:pStyle w:val="TableText0"/>
              <w:jc w:val="center"/>
              <w:rPr>
                <w:sz w:val="20"/>
                <w:szCs w:val="24"/>
              </w:rPr>
            </w:pPr>
            <w:r w:rsidRPr="00051A87">
              <w:rPr>
                <w:sz w:val="20"/>
                <w:szCs w:val="24"/>
              </w:rPr>
              <w:t>0.02 mg/kg</w:t>
            </w:r>
          </w:p>
        </w:tc>
      </w:tr>
    </w:tbl>
    <w:p w14:paraId="47E0CDB1" w14:textId="6E9A9EAE" w:rsidR="007D4BDA" w:rsidRPr="00051A87" w:rsidRDefault="00DC138B" w:rsidP="007D4BDA">
      <w:pPr>
        <w:spacing w:after="120"/>
        <w:rPr>
          <w:rFonts w:ascii="Calibri" w:hAnsi="Calibri"/>
          <w:bCs/>
          <w:sz w:val="20"/>
          <w:szCs w:val="24"/>
        </w:rPr>
      </w:pPr>
      <w:r>
        <w:rPr>
          <w:rFonts w:asciiTheme="minorHAnsi" w:hAnsiTheme="minorHAnsi" w:cstheme="minorHAnsi"/>
          <w:sz w:val="20"/>
          <w:szCs w:val="20"/>
        </w:rPr>
        <w:t xml:space="preserve">Note: </w:t>
      </w:r>
      <w:r w:rsidR="007D4BDA">
        <w:rPr>
          <w:rFonts w:asciiTheme="minorHAnsi" w:hAnsiTheme="minorHAnsi" w:cstheme="minorHAnsi"/>
          <w:sz w:val="20"/>
          <w:szCs w:val="20"/>
        </w:rPr>
        <w:t>T</w:t>
      </w:r>
      <w:r w:rsidR="007D4BDA" w:rsidRPr="00281ABF">
        <w:rPr>
          <w:rFonts w:asciiTheme="minorHAnsi" w:hAnsiTheme="minorHAnsi" w:cstheme="minorHAnsi"/>
          <w:sz w:val="20"/>
          <w:szCs w:val="20"/>
        </w:rPr>
        <w:t xml:space="preserve">he standard methodology under the </w:t>
      </w:r>
      <w:hyperlink r:id="rId28" w:history="1">
        <w:r w:rsidR="007D4BDA" w:rsidRPr="00281ABF">
          <w:rPr>
            <w:rStyle w:val="Hyperlink"/>
            <w:rFonts w:asciiTheme="minorHAnsi" w:hAnsiTheme="minorHAnsi" w:cstheme="minorHAnsi"/>
            <w:sz w:val="20"/>
            <w:szCs w:val="20"/>
          </w:rPr>
          <w:t>ASC NEPM</w:t>
        </w:r>
      </w:hyperlink>
      <w:r w:rsidR="007D4BDA" w:rsidRPr="00281ABF">
        <w:rPr>
          <w:rFonts w:asciiTheme="minorHAnsi" w:hAnsiTheme="minorHAnsi" w:cstheme="minorHAnsi"/>
          <w:sz w:val="20"/>
          <w:szCs w:val="20"/>
        </w:rPr>
        <w:t xml:space="preserve"> HIL A considers two exposure pathways: direct exposure to contaminated soil and dust, and indirect exposure from the consumption of home-grown fruit or vegetables. The default assumption is that home-grown produce makes up 10% of fruit and vegetables consumed</w:t>
      </w:r>
      <w:r w:rsidR="00AD231F">
        <w:rPr>
          <w:rFonts w:asciiTheme="minorHAnsi" w:hAnsiTheme="minorHAnsi" w:cstheme="minorHAnsi"/>
          <w:sz w:val="20"/>
          <w:szCs w:val="20"/>
        </w:rPr>
        <w:t>.</w:t>
      </w:r>
      <w:r w:rsidR="007D4BDA" w:rsidRPr="00281ABF">
        <w:rPr>
          <w:rFonts w:asciiTheme="minorHAnsi" w:hAnsiTheme="minorHAnsi" w:cstheme="minorHAnsi"/>
          <w:sz w:val="20"/>
          <w:szCs w:val="20"/>
        </w:rPr>
        <w:t xml:space="preserve"> Note these criteria do not account for potential home consumption of eggs from home -raised poultry, nor of milk or meat from stock on the premises. </w:t>
      </w:r>
      <w:r w:rsidR="007D4BDA" w:rsidRPr="00BA4B70">
        <w:rPr>
          <w:rFonts w:asciiTheme="minorHAnsi" w:hAnsiTheme="minorHAnsi" w:cstheme="minorHAnsi"/>
          <w:bCs/>
          <w:sz w:val="20"/>
          <w:szCs w:val="20"/>
        </w:rPr>
        <w:t>These soil guidance values only consider</w:t>
      </w:r>
      <w:r w:rsidR="007D4BDA">
        <w:rPr>
          <w:rFonts w:ascii="Calibri" w:hAnsi="Calibri"/>
          <w:bCs/>
          <w:sz w:val="20"/>
          <w:szCs w:val="24"/>
        </w:rPr>
        <w:t xml:space="preserve"> exposure routs </w:t>
      </w:r>
      <w:r w:rsidR="007D4BDA" w:rsidRPr="00051A87">
        <w:rPr>
          <w:rFonts w:ascii="Calibri" w:hAnsi="Calibri"/>
          <w:bCs/>
          <w:sz w:val="20"/>
          <w:szCs w:val="24"/>
        </w:rPr>
        <w:t>through soil contact. They should be applied in conjunction with other lines of investigation to account for potential leaching, off-site transport, bioaccumulation and secondary exposure.</w:t>
      </w:r>
    </w:p>
    <w:p w14:paraId="163FCE0E" w14:textId="77777777" w:rsidR="007D4BDA" w:rsidRPr="00051A87" w:rsidRDefault="007D4BDA" w:rsidP="007D4BDA">
      <w:pPr>
        <w:spacing w:after="120"/>
        <w:rPr>
          <w:rFonts w:ascii="Calibri" w:hAnsi="Calibri"/>
          <w:bCs/>
          <w:sz w:val="20"/>
          <w:szCs w:val="24"/>
        </w:rPr>
      </w:pPr>
      <w:r>
        <w:rPr>
          <w:rFonts w:ascii="Calibri" w:hAnsi="Calibri"/>
          <w:bCs/>
          <w:sz w:val="20"/>
          <w:szCs w:val="24"/>
        </w:rPr>
        <w:t>The HIL A are based on</w:t>
      </w:r>
      <w:r w:rsidRPr="00BA4B70">
        <w:rPr>
          <w:rFonts w:ascii="Calibri" w:hAnsi="Calibri"/>
          <w:bCs/>
          <w:sz w:val="20"/>
          <w:szCs w:val="24"/>
        </w:rPr>
        <w:t xml:space="preserve"> </w:t>
      </w:r>
      <w:r w:rsidRPr="004C25C0">
        <w:rPr>
          <w:rFonts w:ascii="Calibri" w:hAnsi="Calibri"/>
          <w:bCs/>
          <w:sz w:val="20"/>
          <w:szCs w:val="24"/>
        </w:rPr>
        <w:t>calculations</w:t>
      </w:r>
      <w:r w:rsidRPr="00051A87">
        <w:rPr>
          <w:rFonts w:ascii="Calibri" w:hAnsi="Calibri"/>
          <w:bCs/>
          <w:sz w:val="20"/>
          <w:szCs w:val="24"/>
        </w:rPr>
        <w:t xml:space="preserve"> </w:t>
      </w:r>
      <w:r>
        <w:rPr>
          <w:rFonts w:ascii="Calibri" w:hAnsi="Calibri"/>
          <w:bCs/>
          <w:sz w:val="20"/>
          <w:szCs w:val="24"/>
        </w:rPr>
        <w:t xml:space="preserve">considering a </w:t>
      </w:r>
      <w:proofErr w:type="spellStart"/>
      <w:r>
        <w:rPr>
          <w:rFonts w:ascii="Calibri" w:hAnsi="Calibri"/>
          <w:bCs/>
          <w:sz w:val="20"/>
          <w:szCs w:val="24"/>
        </w:rPr>
        <w:t>chemcial</w:t>
      </w:r>
      <w:proofErr w:type="spellEnd"/>
      <w:r>
        <w:rPr>
          <w:rFonts w:ascii="Calibri" w:hAnsi="Calibri"/>
          <w:bCs/>
          <w:sz w:val="20"/>
          <w:szCs w:val="24"/>
        </w:rPr>
        <w:t xml:space="preserve"> intake from a contaminated source equal to</w:t>
      </w:r>
      <w:r w:rsidRPr="00051A87">
        <w:rPr>
          <w:rFonts w:ascii="Calibri" w:hAnsi="Calibri"/>
          <w:bCs/>
          <w:sz w:val="20"/>
          <w:szCs w:val="24"/>
        </w:rPr>
        <w:t xml:space="preserve"> 20% of </w:t>
      </w:r>
      <w:r>
        <w:rPr>
          <w:rFonts w:ascii="Calibri" w:hAnsi="Calibri"/>
          <w:bCs/>
          <w:sz w:val="20"/>
          <w:szCs w:val="24"/>
        </w:rPr>
        <w:t xml:space="preserve">the </w:t>
      </w:r>
      <w:r w:rsidRPr="00051A87">
        <w:rPr>
          <w:rFonts w:ascii="Calibri" w:hAnsi="Calibri"/>
          <w:bCs/>
          <w:sz w:val="20"/>
          <w:szCs w:val="24"/>
        </w:rPr>
        <w:t>tolerable daily intakes (TDI)</w:t>
      </w:r>
      <w:r>
        <w:rPr>
          <w:rFonts w:ascii="Calibri" w:hAnsi="Calibri"/>
          <w:bCs/>
          <w:sz w:val="20"/>
          <w:szCs w:val="24"/>
        </w:rPr>
        <w:t xml:space="preserve">. In other words, this allows </w:t>
      </w:r>
      <w:proofErr w:type="gramStart"/>
      <w:r>
        <w:rPr>
          <w:rFonts w:ascii="Calibri" w:hAnsi="Calibri"/>
          <w:bCs/>
          <w:sz w:val="20"/>
          <w:szCs w:val="24"/>
        </w:rPr>
        <w:t xml:space="preserve">for </w:t>
      </w:r>
      <w:r w:rsidRPr="00051A87">
        <w:rPr>
          <w:rFonts w:ascii="Calibri" w:hAnsi="Calibri"/>
          <w:bCs/>
          <w:sz w:val="20"/>
          <w:szCs w:val="24"/>
        </w:rPr>
        <w:t xml:space="preserve"> 80</w:t>
      </w:r>
      <w:proofErr w:type="gramEnd"/>
      <w:r w:rsidRPr="00051A87">
        <w:rPr>
          <w:rFonts w:ascii="Calibri" w:hAnsi="Calibri"/>
          <w:bCs/>
          <w:sz w:val="20"/>
          <w:szCs w:val="24"/>
        </w:rPr>
        <w:t xml:space="preserve">% of </w:t>
      </w:r>
      <w:proofErr w:type="spellStart"/>
      <w:r>
        <w:rPr>
          <w:rFonts w:ascii="Calibri" w:hAnsi="Calibri"/>
          <w:bCs/>
          <w:sz w:val="20"/>
          <w:szCs w:val="24"/>
        </w:rPr>
        <w:t>of</w:t>
      </w:r>
      <w:proofErr w:type="spellEnd"/>
      <w:r>
        <w:rPr>
          <w:rFonts w:ascii="Calibri" w:hAnsi="Calibri"/>
          <w:bCs/>
          <w:sz w:val="20"/>
          <w:szCs w:val="24"/>
        </w:rPr>
        <w:t xml:space="preserve"> the chemical intake to be attributed to </w:t>
      </w:r>
      <w:r w:rsidRPr="00051A87">
        <w:rPr>
          <w:rFonts w:ascii="Calibri" w:hAnsi="Calibri"/>
          <w:bCs/>
          <w:sz w:val="20"/>
          <w:szCs w:val="24"/>
        </w:rPr>
        <w:t xml:space="preserve">other </w:t>
      </w:r>
      <w:r>
        <w:rPr>
          <w:rFonts w:ascii="Calibri" w:hAnsi="Calibri"/>
          <w:bCs/>
          <w:sz w:val="20"/>
          <w:szCs w:val="24"/>
        </w:rPr>
        <w:t xml:space="preserve">exposure </w:t>
      </w:r>
      <w:r w:rsidRPr="00051A87">
        <w:rPr>
          <w:rFonts w:ascii="Calibri" w:hAnsi="Calibri"/>
          <w:bCs/>
          <w:sz w:val="20"/>
          <w:szCs w:val="24"/>
        </w:rPr>
        <w:t xml:space="preserve">pathways. </w:t>
      </w:r>
      <w:r>
        <w:rPr>
          <w:rFonts w:ascii="Calibri" w:hAnsi="Calibri"/>
          <w:bCs/>
          <w:sz w:val="20"/>
          <w:szCs w:val="24"/>
        </w:rPr>
        <w:t xml:space="preserve">This means that </w:t>
      </w:r>
      <w:r w:rsidRPr="00051A87">
        <w:rPr>
          <w:rFonts w:ascii="Calibri" w:hAnsi="Calibri"/>
          <w:bCs/>
          <w:sz w:val="20"/>
          <w:szCs w:val="24"/>
        </w:rPr>
        <w:t>exceeding these values may not constitute a risk if other pathways are controlled.</w:t>
      </w:r>
    </w:p>
    <w:p w14:paraId="363A418F" w14:textId="28D09EE4" w:rsidR="00F147AC" w:rsidRDefault="007D4BDA" w:rsidP="007D4BDA">
      <w:pPr>
        <w:rPr>
          <w:rFonts w:ascii="Calibri" w:hAnsi="Calibri"/>
          <w:bCs/>
          <w:sz w:val="18"/>
        </w:rPr>
      </w:pPr>
      <w:r w:rsidRPr="00051A87">
        <w:rPr>
          <w:rFonts w:ascii="Calibri" w:hAnsi="Calibri"/>
          <w:bCs/>
          <w:sz w:val="20"/>
          <w:szCs w:val="24"/>
        </w:rPr>
        <w:t xml:space="preserve">A review of soil to plant transfer factors for PFOS and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has shown that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accumulates more readily in plants compared with PFOS. This influences the total PFOS plus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concentration predicted in the plant. The combined PFOS+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HIL A criteria was derived assuming that PFOS and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are present in a soil at equal proportions.</w:t>
      </w:r>
      <w:r>
        <w:rPr>
          <w:rFonts w:ascii="Calibri" w:hAnsi="Calibri"/>
          <w:bCs/>
          <w:sz w:val="20"/>
          <w:szCs w:val="24"/>
        </w:rPr>
        <w:t xml:space="preserve"> </w:t>
      </w:r>
      <w:r w:rsidRPr="00051A87">
        <w:rPr>
          <w:rFonts w:ascii="Calibri" w:hAnsi="Calibri"/>
          <w:bCs/>
          <w:sz w:val="20"/>
          <w:szCs w:val="24"/>
        </w:rPr>
        <w:t xml:space="preserve">If a site has significantly more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in the soil than PFOS, the concentrations of total PFOS plus </w:t>
      </w:r>
      <w:proofErr w:type="spellStart"/>
      <w:r w:rsidRPr="00051A87">
        <w:rPr>
          <w:rFonts w:ascii="Calibri" w:hAnsi="Calibri"/>
          <w:bCs/>
          <w:sz w:val="20"/>
          <w:szCs w:val="24"/>
        </w:rPr>
        <w:t>PFHxS</w:t>
      </w:r>
      <w:proofErr w:type="spellEnd"/>
      <w:r w:rsidRPr="00051A87">
        <w:rPr>
          <w:rFonts w:ascii="Calibri" w:hAnsi="Calibri"/>
          <w:bCs/>
          <w:sz w:val="20"/>
          <w:szCs w:val="24"/>
        </w:rPr>
        <w:t xml:space="preserve"> in the plant will be higher than if they were present in equal proportions. In such a case, a re-calculation of the criterion based on site-specific conditions is recommended as the HIL A soil criteria may not be protective</w:t>
      </w:r>
      <w:r>
        <w:rPr>
          <w:rFonts w:ascii="Calibri" w:hAnsi="Calibri"/>
          <w:bCs/>
          <w:sz w:val="20"/>
          <w:szCs w:val="24"/>
        </w:rPr>
        <w:t xml:space="preserve"> in such instances</w:t>
      </w:r>
      <w:r w:rsidRPr="00051A87">
        <w:rPr>
          <w:rFonts w:ascii="Calibri" w:hAnsi="Calibri"/>
          <w:bCs/>
          <w:sz w:val="20"/>
          <w:szCs w:val="24"/>
        </w:rPr>
        <w:t xml:space="preserve">. </w:t>
      </w:r>
      <w:r w:rsidRPr="008D4CF5">
        <w:rPr>
          <w:rFonts w:ascii="Calibri" w:eastAsia="Calibri" w:hAnsi="Calibri" w:cs="Times New Roman"/>
        </w:rPr>
        <w:t xml:space="preserve"> </w:t>
      </w:r>
    </w:p>
    <w:p w14:paraId="0B4E7684" w14:textId="769078B7" w:rsidR="0068427E" w:rsidRDefault="0068427E" w:rsidP="00210D86">
      <w:pPr>
        <w:spacing w:after="120"/>
        <w:rPr>
          <w:rFonts w:ascii="Calibri" w:eastAsiaTheme="minorEastAsia" w:hAnsi="Calibri"/>
          <w:bCs/>
          <w:color w:val="006642"/>
          <w:sz w:val="56"/>
          <w:szCs w:val="28"/>
          <w:lang w:eastAsia="ja-JP"/>
        </w:rPr>
      </w:pPr>
      <w:r>
        <w:rPr>
          <w:rFonts w:ascii="Calibri" w:eastAsiaTheme="minorEastAsia" w:hAnsi="Calibri"/>
          <w:bCs/>
          <w:color w:val="006642"/>
          <w:sz w:val="56"/>
          <w:szCs w:val="28"/>
          <w:lang w:eastAsia="ja-JP"/>
        </w:rPr>
        <w:t>Scope</w:t>
      </w:r>
    </w:p>
    <w:p w14:paraId="51E67451" w14:textId="5442060F" w:rsidR="00002A06" w:rsidRDefault="00002A06" w:rsidP="00210D86">
      <w:pPr>
        <w:spacing w:after="120"/>
      </w:pPr>
      <w:r>
        <w:t>The following sections present the background information on th</w:t>
      </w:r>
      <w:r w:rsidR="00280C23">
        <w:t>e:</w:t>
      </w:r>
      <w:r>
        <w:t xml:space="preserve"> </w:t>
      </w:r>
    </w:p>
    <w:p w14:paraId="11092A42" w14:textId="03EF5BF9" w:rsidR="00002A06" w:rsidRDefault="00002A06" w:rsidP="00AC6CE6">
      <w:pPr>
        <w:pStyle w:val="ListBullet"/>
      </w:pPr>
      <w:r>
        <w:t xml:space="preserve">Derivation of the HIL A adopted in NEMP 3.0 </w:t>
      </w:r>
    </w:p>
    <w:p w14:paraId="27A6EFDC" w14:textId="10A80FDD" w:rsidR="00002A06" w:rsidRDefault="00002A06" w:rsidP="00AC6CE6">
      <w:pPr>
        <w:pStyle w:val="ListBullet"/>
      </w:pPr>
      <w:r>
        <w:t xml:space="preserve">Soil to plant transfer factors used in deriving the HIL A </w:t>
      </w:r>
    </w:p>
    <w:p w14:paraId="4A4C8225" w14:textId="1A7551CD" w:rsidR="00002A06" w:rsidRDefault="00002A06" w:rsidP="00AC6CE6">
      <w:pPr>
        <w:pStyle w:val="ListBullet"/>
      </w:pPr>
      <w:r>
        <w:t xml:space="preserve">Summary of soil to plant transfer factors for other plant categories not included in ASC </w:t>
      </w:r>
      <w:proofErr w:type="gramStart"/>
      <w:r>
        <w:t xml:space="preserve">NEPM  </w:t>
      </w:r>
      <w:r w:rsidR="00B46823">
        <w:t>;</w:t>
      </w:r>
      <w:proofErr w:type="gramEnd"/>
      <w:r w:rsidR="00B46823">
        <w:t xml:space="preserve"> i.e. plant parts or types of plants beyond the ASC NEPM categories of green vegetables, root vegetables, tuber vegetables and tree fruits. </w:t>
      </w:r>
    </w:p>
    <w:p w14:paraId="4EDADA13" w14:textId="0B1C912F" w:rsidR="00D619F6" w:rsidRDefault="00002A06" w:rsidP="004C209E">
      <w:pPr>
        <w:spacing w:after="120"/>
      </w:pPr>
      <w:r>
        <w:t xml:space="preserve">This document includes details on the assumptions used in deriving the HIL A for PFOS + </w:t>
      </w:r>
      <w:proofErr w:type="spellStart"/>
      <w:r>
        <w:t>PFHxS</w:t>
      </w:r>
      <w:proofErr w:type="spellEnd"/>
      <w:r>
        <w:t xml:space="preserve"> and PFOA, as well as the nationally endorsed TFs and the rationale for their use. These values can be used for assessing risk for site specific assessments and adjusted scenarios where appropriate. </w:t>
      </w:r>
    </w:p>
    <w:p w14:paraId="61FA658E" w14:textId="152F4574" w:rsidR="0072616F" w:rsidRDefault="0072616F" w:rsidP="004C209E">
      <w:pPr>
        <w:spacing w:after="120"/>
      </w:pPr>
      <w:r w:rsidRPr="0072616F">
        <w:t>Further information on the approach and selection of TFs and a sensitivity analysis using different types of data are included in the appendices.</w:t>
      </w:r>
    </w:p>
    <w:p w14:paraId="696EA368" w14:textId="29BDF581" w:rsidR="00D619F6" w:rsidRPr="00A13BAC" w:rsidRDefault="00D619F6" w:rsidP="00A13BAC">
      <w:pPr>
        <w:pStyle w:val="Heading2"/>
      </w:pPr>
      <w:bookmarkStart w:id="9" w:name="_Toc112148517"/>
      <w:bookmarkStart w:id="10" w:name="_Toc112151553"/>
      <w:bookmarkStart w:id="11" w:name="_Toc112148518"/>
      <w:bookmarkStart w:id="12" w:name="_Toc112151554"/>
      <w:bookmarkStart w:id="13" w:name="_Toc112151555"/>
      <w:bookmarkEnd w:id="9"/>
      <w:bookmarkEnd w:id="10"/>
      <w:bookmarkEnd w:id="11"/>
      <w:bookmarkEnd w:id="12"/>
      <w:r w:rsidRPr="00A13BAC">
        <w:lastRenderedPageBreak/>
        <w:t>Derivation of the HIL A adopted in NEMP 3.0</w:t>
      </w:r>
      <w:bookmarkEnd w:id="13"/>
    </w:p>
    <w:p w14:paraId="47020FC4" w14:textId="336EB9F0" w:rsidR="00E7385D" w:rsidRPr="00E7385D" w:rsidRDefault="00E7385D" w:rsidP="00EF6C11">
      <w:bookmarkStart w:id="14" w:name="_Toc430782152"/>
      <w:r w:rsidRPr="00E7385D">
        <w:t>The human health-based soil guideline values for the HIL A were derived according to the methods published under the ASC NEPM (NEPC 2013) for which two pathways of exposure are considered:</w:t>
      </w:r>
    </w:p>
    <w:p w14:paraId="7A40CB9C" w14:textId="385F9C75" w:rsidR="00C36CC9" w:rsidRPr="00C36CC9" w:rsidRDefault="00C36CC9" w:rsidP="00AC6CE6">
      <w:pPr>
        <w:pStyle w:val="ListBullet"/>
        <w:rPr>
          <w:b/>
          <w:bCs/>
        </w:rPr>
      </w:pPr>
      <w:r w:rsidRPr="00C36CC9">
        <w:t>direct exposure to contaminated soil</w:t>
      </w:r>
    </w:p>
    <w:p w14:paraId="22D01742" w14:textId="24B1F975" w:rsidR="00C36CC9" w:rsidRDefault="00C36CC9" w:rsidP="00AC6CE6">
      <w:pPr>
        <w:pStyle w:val="ListBullet"/>
        <w:rPr>
          <w:b/>
          <w:bCs/>
        </w:rPr>
      </w:pPr>
      <w:r w:rsidRPr="00C36CC9">
        <w:t>indirect exposure from consumption of home-grown fruit and / or vegetables grown in contaminated soil.</w:t>
      </w:r>
    </w:p>
    <w:p w14:paraId="325B2DAC" w14:textId="5B524B87" w:rsidR="00E7385D" w:rsidRDefault="007A7FB1" w:rsidP="00EF6C11">
      <w:r w:rsidRPr="00E975FC">
        <w:rPr>
          <w:szCs w:val="16"/>
        </w:rPr>
        <w:br/>
      </w:r>
      <w:r w:rsidR="00E7385D">
        <w:t>Criteria for bioaccumulative contaminants such as PFAS are calculated using soil to plant TFs, which estimate the concentration of a contaminant in plant tissue based on the soil concentration of that contaminant. Soil criteria were calculated using the HILs Calculator Microsoft Excel spreadsheet provided on the National Environment Protection Council (NEPC) website (accessed 2021). Input parameters were consistent with guidance provided in the ASC NEPM (NEPC 2013).</w:t>
      </w:r>
    </w:p>
    <w:p w14:paraId="1EF25141" w14:textId="72A023E1" w:rsidR="00C36CC9" w:rsidRPr="004755F2" w:rsidRDefault="00E7385D" w:rsidP="00EF6C11">
      <w:r>
        <w:t>For residential with garden / accessible soil, the standard methodology under the ASC NEPM HIL A assumes that home</w:t>
      </w:r>
      <w:r w:rsidR="000F63A6">
        <w:t>-grown</w:t>
      </w:r>
      <w:r>
        <w:t xml:space="preserve"> produce makes up 10% of fruit and vegetables consumed. In the PFAS NEMP, an example for 50% of chemical exposure through consumption of home-grown produce is also included as an additional scenario. Note these criteria do not account for potential consumption of eggs from home</w:t>
      </w:r>
      <w:r w:rsidR="004973C9">
        <w:t>-raised</w:t>
      </w:r>
      <w:r>
        <w:t xml:space="preserve"> poultry, nor of milk or meat from stock on the premises. However, the HILs calculations </w:t>
      </w:r>
      <w:r w:rsidR="004973C9">
        <w:t xml:space="preserve">consider a chemical intake from a contaminated source equal to </w:t>
      </w:r>
      <w:r>
        <w:t xml:space="preserve">20% of the </w:t>
      </w:r>
      <w:r w:rsidR="004973C9">
        <w:t>tolerable daily intake (</w:t>
      </w:r>
      <w:r>
        <w:t>TDI</w:t>
      </w:r>
      <w:r w:rsidR="004973C9">
        <w:t>)</w:t>
      </w:r>
      <w:r>
        <w:t xml:space="preserve">. In other words, this allows for 80% of </w:t>
      </w:r>
      <w:r w:rsidR="004973C9">
        <w:t xml:space="preserve">the chemical </w:t>
      </w:r>
      <w:r>
        <w:t>intake to be attributed to other exposure pathways (</w:t>
      </w:r>
      <w:proofErr w:type="gramStart"/>
      <w:r>
        <w:t>e.g.</w:t>
      </w:r>
      <w:proofErr w:type="gramEnd"/>
      <w:r>
        <w:t xml:space="preserve"> consumption of other home grown produce, poultry eggs and recreational activities) as well as background exposure. This means that exceeding these values does not constitute a risk if other pathways are controlled.</w:t>
      </w:r>
    </w:p>
    <w:p w14:paraId="6CD4F7F2" w14:textId="53C883D6" w:rsidR="00B671F6" w:rsidRPr="00B671F6" w:rsidRDefault="00B671F6" w:rsidP="00B671F6">
      <w:pPr>
        <w:pStyle w:val="Heading2"/>
      </w:pPr>
      <w:bookmarkStart w:id="15" w:name="_Toc112151556"/>
      <w:bookmarkStart w:id="16" w:name="_Toc430782157"/>
      <w:bookmarkEnd w:id="14"/>
      <w:r w:rsidRPr="00B671F6">
        <w:lastRenderedPageBreak/>
        <w:t>Soil to plant transfer factors used to derive the HIL A</w:t>
      </w:r>
      <w:bookmarkEnd w:id="15"/>
    </w:p>
    <w:p w14:paraId="5D9AC8BD" w14:textId="6A0CDD4D" w:rsidR="00C222EC" w:rsidRPr="00921EDE" w:rsidRDefault="00C222EC" w:rsidP="00EF6C11">
      <w:pPr>
        <w:pStyle w:val="BodyText"/>
        <w:numPr>
          <w:ilvl w:val="0"/>
          <w:numId w:val="35"/>
        </w:numPr>
        <w:spacing w:before="120" w:line="240" w:lineRule="auto"/>
      </w:pPr>
      <w:bookmarkStart w:id="17" w:name="_Ref445985101"/>
      <w:bookmarkStart w:id="18" w:name="_Toc409769090"/>
      <w:bookmarkStart w:id="19" w:name="_Toc85185995"/>
      <w:bookmarkEnd w:id="16"/>
      <w:r w:rsidRPr="00C222EC">
        <w:t xml:space="preserve">To derive the HIL A values listed in Table 1, concentrations in fruit and vegetables are calculated using soil to plant TFs. The method used to calculate the TFs are discussed in </w:t>
      </w:r>
      <w:hyperlink w:anchor="_Calulating_Transfer_Factors" w:history="1">
        <w:r w:rsidRPr="00110CD0">
          <w:rPr>
            <w:rStyle w:val="Hyperlink"/>
          </w:rPr>
          <w:t xml:space="preserve">Section </w:t>
        </w:r>
        <w:r w:rsidR="00A16B11" w:rsidRPr="00110CD0">
          <w:rPr>
            <w:rStyle w:val="Hyperlink"/>
          </w:rPr>
          <w:t>2</w:t>
        </w:r>
        <w:r w:rsidRPr="00110CD0">
          <w:rPr>
            <w:rStyle w:val="Hyperlink"/>
          </w:rPr>
          <w:t>.1</w:t>
        </w:r>
      </w:hyperlink>
      <w:r w:rsidRPr="00C222EC">
        <w:t xml:space="preserve"> below. The final TFs used in the HIL A derivation are summarised in Table 2 and include four plant categories: green vegetables, root vegetables, tuber vegetables, and tree fruit (based on ASC NEPM).</w:t>
      </w:r>
      <w:r w:rsidR="00586CD7" w:rsidRPr="00586CD7">
        <w:t xml:space="preserve"> </w:t>
      </w:r>
      <w:r w:rsidR="00586CD7">
        <w:t xml:space="preserve">A summary of the studies from which these final TFs were derived are presented in </w:t>
      </w:r>
      <w:hyperlink w:anchor="_Appendix_A_:" w:history="1">
        <w:r w:rsidR="00586CD7" w:rsidRPr="00921EDE">
          <w:rPr>
            <w:rStyle w:val="Hyperlink"/>
          </w:rPr>
          <w:t>Appendix A</w:t>
        </w:r>
      </w:hyperlink>
      <w:r w:rsidR="00586CD7" w:rsidRPr="00DA5164">
        <w:t>.</w:t>
      </w:r>
      <w:r w:rsidR="00586CD7">
        <w:t xml:space="preserve"> Additionally, a sensitivity analysis was conducted using different data points with varying TFs to inform how this may influence the guideline values, and this is presented in </w:t>
      </w:r>
      <w:hyperlink w:anchor="_Appendix_B:_Sensitivity" w:history="1">
        <w:r w:rsidR="00586CD7" w:rsidRPr="00921EDE">
          <w:rPr>
            <w:rStyle w:val="Hyperlink"/>
          </w:rPr>
          <w:t>Appendix B</w:t>
        </w:r>
      </w:hyperlink>
      <w:r w:rsidR="00586CD7" w:rsidRPr="00DA5164">
        <w:t>.</w:t>
      </w:r>
    </w:p>
    <w:p w14:paraId="3889BE67" w14:textId="141274E4" w:rsidR="007C00E0" w:rsidRDefault="007C00E0" w:rsidP="007C00E0">
      <w:pPr>
        <w:pStyle w:val="Caption"/>
      </w:pPr>
      <w:bookmarkStart w:id="20" w:name="_Toc112679540"/>
      <w:bookmarkEnd w:id="17"/>
      <w:bookmarkEnd w:id="18"/>
      <w:bookmarkEnd w:id="19"/>
      <w:r>
        <w:t xml:space="preserve">Table </w:t>
      </w:r>
      <w:r w:rsidR="008D7C8F">
        <w:fldChar w:fldCharType="begin"/>
      </w:r>
      <w:r w:rsidR="008D7C8F">
        <w:instrText xml:space="preserve"> SEQ Table \* ARABIC </w:instrText>
      </w:r>
      <w:r w:rsidR="008D7C8F">
        <w:fldChar w:fldCharType="separate"/>
      </w:r>
      <w:r w:rsidR="00C96EE9">
        <w:rPr>
          <w:noProof/>
        </w:rPr>
        <w:t>2</w:t>
      </w:r>
      <w:r w:rsidR="008D7C8F">
        <w:rPr>
          <w:noProof/>
        </w:rPr>
        <w:fldChar w:fldCharType="end"/>
      </w:r>
      <w:r>
        <w:t xml:space="preserve"> </w:t>
      </w:r>
      <w:r w:rsidRPr="000D22E7">
        <w:t xml:space="preserve">Soil to plant transfer factors used in the calculations for PFOS + </w:t>
      </w:r>
      <w:proofErr w:type="spellStart"/>
      <w:r w:rsidRPr="000D22E7">
        <w:t>PFHxS</w:t>
      </w:r>
      <w:proofErr w:type="spellEnd"/>
      <w:r w:rsidRPr="000D22E7">
        <w:t xml:space="preserve"> and PFOA guideline values for residential with garden / accessible soil (HIL A)</w:t>
      </w:r>
      <w:bookmarkEnd w:id="20"/>
    </w:p>
    <w:tbl>
      <w:tblPr>
        <w:tblW w:w="5000" w:type="pct"/>
        <w:tblBorders>
          <w:top w:val="single" w:sz="6" w:space="0" w:color="auto"/>
          <w:bottom w:val="single" w:sz="4" w:space="0" w:color="auto"/>
          <w:insideH w:val="single" w:sz="4" w:space="0" w:color="auto"/>
        </w:tblBorders>
        <w:tblCellMar>
          <w:left w:w="40" w:type="dxa"/>
          <w:right w:w="40" w:type="dxa"/>
        </w:tblCellMar>
        <w:tblLook w:val="04A0" w:firstRow="1" w:lastRow="0" w:firstColumn="1" w:lastColumn="0" w:noHBand="0" w:noVBand="1"/>
        <w:tblCaption w:val="Soil to plant transfer factors used in the calculations for PFOS + PFHxS and PFOA guideline values for residential with garden / accessible soil (HIL A)"/>
        <w:tblDescription w:val="Table showing the transfer factor of found plant categories along with a representative species. Celery, a green vegetable has the highest transfer factor for the sum of PFOS and PFHxS, whilst the radish, a root vegetable, has the highest transfer factor for PFOA."/>
      </w:tblPr>
      <w:tblGrid>
        <w:gridCol w:w="2377"/>
        <w:gridCol w:w="1986"/>
        <w:gridCol w:w="1092"/>
        <w:gridCol w:w="2570"/>
        <w:gridCol w:w="1045"/>
      </w:tblGrid>
      <w:tr w:rsidR="007C00E0" w14:paraId="32FC6EF8" w14:textId="77777777" w:rsidTr="003439A8">
        <w:trPr>
          <w:trHeight w:val="299"/>
          <w:tblHeader/>
        </w:trPr>
        <w:tc>
          <w:tcPr>
            <w:tcW w:w="1310" w:type="pct"/>
            <w:tcBorders>
              <w:top w:val="single" w:sz="6" w:space="0" w:color="auto"/>
              <w:left w:val="nil"/>
              <w:bottom w:val="single" w:sz="4" w:space="0" w:color="auto"/>
              <w:right w:val="nil"/>
            </w:tcBorders>
            <w:hideMark/>
          </w:tcPr>
          <w:p w14:paraId="35F1ED0A" w14:textId="7AB8517D" w:rsidR="007C00E0" w:rsidRDefault="007C00E0" w:rsidP="00EF6C11">
            <w:pPr>
              <w:pStyle w:val="TableHeading"/>
            </w:pPr>
          </w:p>
        </w:tc>
        <w:tc>
          <w:tcPr>
            <w:tcW w:w="1095" w:type="pct"/>
            <w:tcBorders>
              <w:top w:val="single" w:sz="6" w:space="0" w:color="auto"/>
              <w:left w:val="nil"/>
              <w:bottom w:val="single" w:sz="4" w:space="0" w:color="auto"/>
              <w:right w:val="nil"/>
            </w:tcBorders>
            <w:tcMar>
              <w:top w:w="0" w:type="dxa"/>
              <w:left w:w="108" w:type="dxa"/>
              <w:bottom w:w="0" w:type="dxa"/>
              <w:right w:w="108" w:type="dxa"/>
            </w:tcMar>
            <w:hideMark/>
          </w:tcPr>
          <w:p w14:paraId="1D1F6703" w14:textId="466CF058" w:rsidR="007C00E0" w:rsidRDefault="007C00E0" w:rsidP="00EF6C11">
            <w:pPr>
              <w:pStyle w:val="TableHeading"/>
            </w:pPr>
            <w:r>
              <w:t>Category</w:t>
            </w:r>
          </w:p>
        </w:tc>
        <w:tc>
          <w:tcPr>
            <w:tcW w:w="602" w:type="pct"/>
            <w:tcBorders>
              <w:top w:val="single" w:sz="6" w:space="0" w:color="auto"/>
              <w:left w:val="nil"/>
              <w:bottom w:val="single" w:sz="4" w:space="0" w:color="auto"/>
              <w:right w:val="nil"/>
            </w:tcBorders>
            <w:tcMar>
              <w:top w:w="0" w:type="dxa"/>
              <w:left w:w="108" w:type="dxa"/>
              <w:bottom w:w="0" w:type="dxa"/>
              <w:right w:w="108" w:type="dxa"/>
            </w:tcMar>
            <w:hideMark/>
          </w:tcPr>
          <w:p w14:paraId="58BF916A" w14:textId="017AC02E" w:rsidR="007C00E0" w:rsidRDefault="007C00E0" w:rsidP="00EF6C11">
            <w:pPr>
              <w:pStyle w:val="TableHeading"/>
            </w:pPr>
            <w:r>
              <w:t>Species</w:t>
            </w:r>
          </w:p>
        </w:tc>
        <w:tc>
          <w:tcPr>
            <w:tcW w:w="1417" w:type="pct"/>
            <w:tcBorders>
              <w:top w:val="single" w:sz="6" w:space="0" w:color="auto"/>
              <w:left w:val="nil"/>
              <w:bottom w:val="single" w:sz="4" w:space="0" w:color="auto"/>
              <w:right w:val="nil"/>
            </w:tcBorders>
            <w:tcMar>
              <w:top w:w="0" w:type="dxa"/>
              <w:left w:w="108" w:type="dxa"/>
              <w:bottom w:w="0" w:type="dxa"/>
              <w:right w:w="108" w:type="dxa"/>
            </w:tcMar>
            <w:hideMark/>
          </w:tcPr>
          <w:p w14:paraId="483A799B" w14:textId="117C577D" w:rsidR="007C00E0" w:rsidRDefault="007C00E0" w:rsidP="00EF6C11">
            <w:pPr>
              <w:pStyle w:val="TableHeading"/>
            </w:pPr>
            <w:r>
              <w:t>Data source</w:t>
            </w:r>
          </w:p>
        </w:tc>
        <w:tc>
          <w:tcPr>
            <w:tcW w:w="576" w:type="pct"/>
            <w:tcBorders>
              <w:top w:val="single" w:sz="6" w:space="0" w:color="auto"/>
              <w:left w:val="nil"/>
              <w:bottom w:val="single" w:sz="4" w:space="0" w:color="auto"/>
              <w:right w:val="nil"/>
            </w:tcBorders>
            <w:tcMar>
              <w:top w:w="0" w:type="dxa"/>
              <w:left w:w="108" w:type="dxa"/>
              <w:bottom w:w="0" w:type="dxa"/>
              <w:right w:w="108" w:type="dxa"/>
            </w:tcMar>
            <w:hideMark/>
          </w:tcPr>
          <w:p w14:paraId="065810F2" w14:textId="5B80249F" w:rsidR="007C00E0" w:rsidRDefault="007C00E0" w:rsidP="00EF6C11">
            <w:pPr>
              <w:pStyle w:val="TableHeading"/>
            </w:pPr>
            <w:r>
              <w:t>Final TF</w:t>
            </w:r>
          </w:p>
        </w:tc>
      </w:tr>
      <w:tr w:rsidR="007C00E0" w14:paraId="0E82CDB3" w14:textId="77777777" w:rsidTr="003439A8">
        <w:trPr>
          <w:trHeight w:val="317"/>
        </w:trPr>
        <w:tc>
          <w:tcPr>
            <w:tcW w:w="1310" w:type="pct"/>
            <w:vMerge w:val="restart"/>
            <w:tcBorders>
              <w:top w:val="single" w:sz="4" w:space="0" w:color="auto"/>
              <w:left w:val="nil"/>
              <w:bottom w:val="single" w:sz="4" w:space="0" w:color="auto"/>
              <w:right w:val="nil"/>
            </w:tcBorders>
            <w:hideMark/>
          </w:tcPr>
          <w:p w14:paraId="1939ED59" w14:textId="2D85805C" w:rsidR="007C00E0" w:rsidRPr="00D619F6" w:rsidRDefault="007C00E0" w:rsidP="007C00E0">
            <w:pPr>
              <w:pStyle w:val="TableText0"/>
              <w:rPr>
                <w:vertAlign w:val="superscript"/>
              </w:rPr>
            </w:pPr>
            <w:r>
              <w:t xml:space="preserve">Sum of PFOS and </w:t>
            </w:r>
            <w:proofErr w:type="spellStart"/>
            <w:r>
              <w:t>PFHxS</w:t>
            </w:r>
            <w:proofErr w:type="spellEnd"/>
            <w:r>
              <w:t xml:space="preserve"> </w:t>
            </w:r>
            <w:r>
              <w:rPr>
                <w:vertAlign w:val="superscript"/>
              </w:rPr>
              <w:t>a</w:t>
            </w:r>
          </w:p>
        </w:tc>
        <w:tc>
          <w:tcPr>
            <w:tcW w:w="1095" w:type="pct"/>
            <w:tcMar>
              <w:top w:w="0" w:type="dxa"/>
              <w:left w:w="108" w:type="dxa"/>
              <w:bottom w:w="0" w:type="dxa"/>
              <w:right w:w="108" w:type="dxa"/>
            </w:tcMar>
            <w:hideMark/>
          </w:tcPr>
          <w:p w14:paraId="5E532D39" w14:textId="3952B37A" w:rsidR="007C00E0" w:rsidRDefault="007C00E0" w:rsidP="007C00E0">
            <w:pPr>
              <w:pStyle w:val="TableText0"/>
            </w:pPr>
            <w:r w:rsidRPr="00325B0D">
              <w:rPr>
                <w:sz w:val="20"/>
                <w:szCs w:val="20"/>
              </w:rPr>
              <w:t>Green vegetables</w:t>
            </w:r>
          </w:p>
        </w:tc>
        <w:tc>
          <w:tcPr>
            <w:tcW w:w="602" w:type="pct"/>
            <w:tcMar>
              <w:top w:w="0" w:type="dxa"/>
              <w:left w:w="108" w:type="dxa"/>
              <w:bottom w:w="0" w:type="dxa"/>
              <w:right w:w="108" w:type="dxa"/>
            </w:tcMar>
            <w:hideMark/>
          </w:tcPr>
          <w:p w14:paraId="37FABEE5" w14:textId="2DFA644E" w:rsidR="007C00E0" w:rsidRDefault="007C00E0" w:rsidP="007C00E0">
            <w:pPr>
              <w:pStyle w:val="TableText0"/>
            </w:pPr>
            <w:r w:rsidRPr="00325B0D">
              <w:rPr>
                <w:sz w:val="20"/>
                <w:szCs w:val="20"/>
              </w:rPr>
              <w:t>Celery</w:t>
            </w:r>
          </w:p>
        </w:tc>
        <w:tc>
          <w:tcPr>
            <w:tcW w:w="1417" w:type="pct"/>
            <w:tcMar>
              <w:top w:w="0" w:type="dxa"/>
              <w:left w:w="108" w:type="dxa"/>
              <w:bottom w:w="0" w:type="dxa"/>
              <w:right w:w="108" w:type="dxa"/>
            </w:tcMar>
            <w:hideMark/>
          </w:tcPr>
          <w:p w14:paraId="297A3334" w14:textId="27E66188" w:rsidR="007C00E0" w:rsidRDefault="007C00E0" w:rsidP="007C00E0">
            <w:pPr>
              <w:pStyle w:val="TableText0"/>
            </w:pPr>
            <w:r w:rsidRPr="00325B0D">
              <w:rPr>
                <w:sz w:val="20"/>
                <w:szCs w:val="20"/>
              </w:rPr>
              <w:t>Blaine et al. 2014</w:t>
            </w:r>
          </w:p>
        </w:tc>
        <w:tc>
          <w:tcPr>
            <w:tcW w:w="576" w:type="pct"/>
            <w:tcMar>
              <w:top w:w="0" w:type="dxa"/>
              <w:left w:w="108" w:type="dxa"/>
              <w:bottom w:w="0" w:type="dxa"/>
              <w:right w:w="108" w:type="dxa"/>
            </w:tcMar>
            <w:hideMark/>
          </w:tcPr>
          <w:p w14:paraId="500B2DD4" w14:textId="2AD4B84E" w:rsidR="007C00E0" w:rsidRDefault="007C00E0" w:rsidP="007C00E0">
            <w:pPr>
              <w:pStyle w:val="TableText0"/>
            </w:pPr>
            <w:r w:rsidRPr="00325B0D">
              <w:rPr>
                <w:sz w:val="20"/>
                <w:szCs w:val="20"/>
              </w:rPr>
              <w:t>0.79</w:t>
            </w:r>
          </w:p>
        </w:tc>
      </w:tr>
      <w:tr w:rsidR="007C00E0" w14:paraId="4339E07D" w14:textId="77777777" w:rsidTr="003439A8">
        <w:trPr>
          <w:trHeight w:val="326"/>
        </w:trPr>
        <w:tc>
          <w:tcPr>
            <w:tcW w:w="1310" w:type="pct"/>
            <w:vMerge/>
            <w:tcBorders>
              <w:top w:val="single" w:sz="4" w:space="0" w:color="auto"/>
              <w:left w:val="nil"/>
              <w:bottom w:val="single" w:sz="4" w:space="0" w:color="auto"/>
              <w:right w:val="nil"/>
            </w:tcBorders>
            <w:vAlign w:val="center"/>
            <w:hideMark/>
          </w:tcPr>
          <w:p w14:paraId="4B1A1681" w14:textId="77777777" w:rsidR="007C00E0" w:rsidRDefault="007C00E0" w:rsidP="007C00E0">
            <w:pPr>
              <w:pStyle w:val="TableText0"/>
            </w:pPr>
          </w:p>
        </w:tc>
        <w:tc>
          <w:tcPr>
            <w:tcW w:w="1095" w:type="pct"/>
            <w:tcMar>
              <w:top w:w="0" w:type="dxa"/>
              <w:left w:w="108" w:type="dxa"/>
              <w:bottom w:w="0" w:type="dxa"/>
              <w:right w:w="108" w:type="dxa"/>
            </w:tcMar>
            <w:hideMark/>
          </w:tcPr>
          <w:p w14:paraId="42DE41D5" w14:textId="0A95BE33" w:rsidR="007C00E0" w:rsidRDefault="007C00E0" w:rsidP="007C00E0">
            <w:pPr>
              <w:pStyle w:val="TableText0"/>
            </w:pPr>
            <w:r w:rsidRPr="00325B0D">
              <w:rPr>
                <w:sz w:val="20"/>
                <w:szCs w:val="20"/>
              </w:rPr>
              <w:t>Root vegetables</w:t>
            </w:r>
          </w:p>
        </w:tc>
        <w:tc>
          <w:tcPr>
            <w:tcW w:w="602" w:type="pct"/>
            <w:tcMar>
              <w:top w:w="0" w:type="dxa"/>
              <w:left w:w="108" w:type="dxa"/>
              <w:bottom w:w="0" w:type="dxa"/>
              <w:right w:w="108" w:type="dxa"/>
            </w:tcMar>
            <w:hideMark/>
          </w:tcPr>
          <w:p w14:paraId="63906297" w14:textId="13E36EDA" w:rsidR="007C00E0" w:rsidRDefault="007C00E0" w:rsidP="007C00E0">
            <w:pPr>
              <w:pStyle w:val="TableText0"/>
            </w:pPr>
            <w:r w:rsidRPr="00325B0D">
              <w:rPr>
                <w:sz w:val="20"/>
                <w:szCs w:val="20"/>
              </w:rPr>
              <w:t>Radish</w:t>
            </w:r>
          </w:p>
        </w:tc>
        <w:tc>
          <w:tcPr>
            <w:tcW w:w="1417" w:type="pct"/>
            <w:tcMar>
              <w:top w:w="0" w:type="dxa"/>
              <w:left w:w="108" w:type="dxa"/>
              <w:bottom w:w="0" w:type="dxa"/>
              <w:right w:w="108" w:type="dxa"/>
            </w:tcMar>
            <w:hideMark/>
          </w:tcPr>
          <w:p w14:paraId="35232F5F" w14:textId="4E181F42" w:rsidR="007C00E0" w:rsidRDefault="007C00E0" w:rsidP="007C00E0">
            <w:pPr>
              <w:pStyle w:val="TableText0"/>
            </w:pPr>
            <w:proofErr w:type="spellStart"/>
            <w:r w:rsidRPr="00325B0D">
              <w:rPr>
                <w:rFonts w:cs="Arial"/>
                <w:sz w:val="20"/>
                <w:szCs w:val="20"/>
              </w:rPr>
              <w:t>Lasee</w:t>
            </w:r>
            <w:proofErr w:type="spellEnd"/>
            <w:r w:rsidRPr="00325B0D">
              <w:rPr>
                <w:rFonts w:cs="Arial"/>
                <w:sz w:val="20"/>
                <w:szCs w:val="20"/>
              </w:rPr>
              <w:t xml:space="preserve"> et al</w:t>
            </w:r>
            <w:r>
              <w:rPr>
                <w:rFonts w:cs="Arial"/>
                <w:sz w:val="20"/>
                <w:szCs w:val="20"/>
              </w:rPr>
              <w:t>.</w:t>
            </w:r>
            <w:r w:rsidRPr="00325B0D">
              <w:rPr>
                <w:rFonts w:cs="Arial"/>
                <w:sz w:val="20"/>
                <w:szCs w:val="20"/>
              </w:rPr>
              <w:t xml:space="preserve"> 2019</w:t>
            </w:r>
          </w:p>
        </w:tc>
        <w:tc>
          <w:tcPr>
            <w:tcW w:w="576" w:type="pct"/>
            <w:tcMar>
              <w:top w:w="0" w:type="dxa"/>
              <w:left w:w="108" w:type="dxa"/>
              <w:bottom w:w="0" w:type="dxa"/>
              <w:right w:w="108" w:type="dxa"/>
            </w:tcMar>
            <w:hideMark/>
          </w:tcPr>
          <w:p w14:paraId="21DD144C" w14:textId="1691BE19" w:rsidR="007C00E0" w:rsidRDefault="007C00E0" w:rsidP="007C00E0">
            <w:pPr>
              <w:pStyle w:val="TableText0"/>
            </w:pPr>
            <w:r w:rsidRPr="00325B0D">
              <w:rPr>
                <w:sz w:val="20"/>
                <w:szCs w:val="20"/>
              </w:rPr>
              <w:t>0.58</w:t>
            </w:r>
          </w:p>
        </w:tc>
      </w:tr>
      <w:tr w:rsidR="007C00E0" w14:paraId="26828627" w14:textId="77777777" w:rsidTr="003439A8">
        <w:trPr>
          <w:trHeight w:val="335"/>
        </w:trPr>
        <w:tc>
          <w:tcPr>
            <w:tcW w:w="1310" w:type="pct"/>
            <w:vMerge/>
            <w:tcBorders>
              <w:top w:val="single" w:sz="4" w:space="0" w:color="auto"/>
              <w:left w:val="nil"/>
              <w:bottom w:val="single" w:sz="4" w:space="0" w:color="auto"/>
              <w:right w:val="nil"/>
            </w:tcBorders>
            <w:vAlign w:val="center"/>
            <w:hideMark/>
          </w:tcPr>
          <w:p w14:paraId="1E65E4C4" w14:textId="77777777" w:rsidR="007C00E0" w:rsidRDefault="007C00E0" w:rsidP="007C00E0">
            <w:pPr>
              <w:pStyle w:val="TableText0"/>
            </w:pPr>
          </w:p>
        </w:tc>
        <w:tc>
          <w:tcPr>
            <w:tcW w:w="1095" w:type="pct"/>
            <w:tcMar>
              <w:top w:w="0" w:type="dxa"/>
              <w:left w:w="108" w:type="dxa"/>
              <w:bottom w:w="0" w:type="dxa"/>
              <w:right w:w="108" w:type="dxa"/>
            </w:tcMar>
            <w:hideMark/>
          </w:tcPr>
          <w:p w14:paraId="46060660" w14:textId="73CA627B" w:rsidR="007C00E0" w:rsidRDefault="007C00E0" w:rsidP="007C00E0">
            <w:pPr>
              <w:pStyle w:val="TableText0"/>
            </w:pPr>
            <w:r w:rsidRPr="00325B0D">
              <w:rPr>
                <w:sz w:val="20"/>
                <w:szCs w:val="20"/>
              </w:rPr>
              <w:t>Tuber vegetables</w:t>
            </w:r>
          </w:p>
        </w:tc>
        <w:tc>
          <w:tcPr>
            <w:tcW w:w="602" w:type="pct"/>
            <w:tcMar>
              <w:top w:w="0" w:type="dxa"/>
              <w:left w:w="108" w:type="dxa"/>
              <w:bottom w:w="0" w:type="dxa"/>
              <w:right w:w="108" w:type="dxa"/>
            </w:tcMar>
            <w:hideMark/>
          </w:tcPr>
          <w:p w14:paraId="702F5C2D" w14:textId="1245BD2E" w:rsidR="007C00E0" w:rsidRDefault="007C00E0" w:rsidP="007C00E0">
            <w:pPr>
              <w:pStyle w:val="TableText0"/>
            </w:pPr>
            <w:r w:rsidRPr="00325B0D">
              <w:rPr>
                <w:sz w:val="20"/>
                <w:szCs w:val="20"/>
              </w:rPr>
              <w:t>Potato</w:t>
            </w:r>
          </w:p>
        </w:tc>
        <w:tc>
          <w:tcPr>
            <w:tcW w:w="1417" w:type="pct"/>
            <w:tcMar>
              <w:top w:w="0" w:type="dxa"/>
              <w:left w:w="108" w:type="dxa"/>
              <w:bottom w:w="0" w:type="dxa"/>
              <w:right w:w="108" w:type="dxa"/>
            </w:tcMar>
            <w:hideMark/>
          </w:tcPr>
          <w:p w14:paraId="63F0193D" w14:textId="33D5AB8C" w:rsidR="007C00E0" w:rsidRDefault="007C00E0" w:rsidP="007C00E0">
            <w:pPr>
              <w:pStyle w:val="TableText0"/>
            </w:pPr>
            <w:r w:rsidRPr="00325B0D">
              <w:rPr>
                <w:color w:val="000000"/>
                <w:sz w:val="20"/>
                <w:szCs w:val="20"/>
              </w:rPr>
              <w:t>Lechner &amp; Knapp 2011</w:t>
            </w:r>
          </w:p>
        </w:tc>
        <w:tc>
          <w:tcPr>
            <w:tcW w:w="576" w:type="pct"/>
            <w:tcMar>
              <w:top w:w="0" w:type="dxa"/>
              <w:left w:w="108" w:type="dxa"/>
              <w:bottom w:w="0" w:type="dxa"/>
              <w:right w:w="108" w:type="dxa"/>
            </w:tcMar>
            <w:hideMark/>
          </w:tcPr>
          <w:p w14:paraId="0D0532C6" w14:textId="0264D1C8" w:rsidR="007C00E0" w:rsidRDefault="007C00E0" w:rsidP="007C00E0">
            <w:pPr>
              <w:pStyle w:val="TableText0"/>
            </w:pPr>
            <w:r w:rsidRPr="00325B0D">
              <w:rPr>
                <w:sz w:val="20"/>
                <w:szCs w:val="20"/>
              </w:rPr>
              <w:t>0.20</w:t>
            </w:r>
          </w:p>
        </w:tc>
      </w:tr>
      <w:tr w:rsidR="007C00E0" w14:paraId="18D56DAD" w14:textId="77777777" w:rsidTr="003439A8">
        <w:trPr>
          <w:trHeight w:val="326"/>
        </w:trPr>
        <w:tc>
          <w:tcPr>
            <w:tcW w:w="1310" w:type="pct"/>
            <w:vMerge/>
            <w:tcBorders>
              <w:top w:val="single" w:sz="4" w:space="0" w:color="auto"/>
              <w:left w:val="nil"/>
              <w:bottom w:val="single" w:sz="4" w:space="0" w:color="auto"/>
              <w:right w:val="nil"/>
            </w:tcBorders>
            <w:vAlign w:val="center"/>
            <w:hideMark/>
          </w:tcPr>
          <w:p w14:paraId="78615C55" w14:textId="77777777" w:rsidR="007C00E0" w:rsidRDefault="007C00E0" w:rsidP="007C00E0">
            <w:pPr>
              <w:pStyle w:val="TableText0"/>
            </w:pPr>
          </w:p>
        </w:tc>
        <w:tc>
          <w:tcPr>
            <w:tcW w:w="1095" w:type="pct"/>
            <w:tcMar>
              <w:top w:w="0" w:type="dxa"/>
              <w:left w:w="108" w:type="dxa"/>
              <w:bottom w:w="0" w:type="dxa"/>
              <w:right w:w="108" w:type="dxa"/>
            </w:tcMar>
            <w:hideMark/>
          </w:tcPr>
          <w:p w14:paraId="4A2024BC" w14:textId="0DC61C92" w:rsidR="007C00E0" w:rsidRDefault="007C00E0" w:rsidP="007C00E0">
            <w:pPr>
              <w:pStyle w:val="TableText0"/>
            </w:pPr>
            <w:r w:rsidRPr="00325B0D">
              <w:rPr>
                <w:sz w:val="20"/>
                <w:szCs w:val="20"/>
              </w:rPr>
              <w:t>Fruit</w:t>
            </w:r>
          </w:p>
        </w:tc>
        <w:tc>
          <w:tcPr>
            <w:tcW w:w="602" w:type="pct"/>
            <w:tcMar>
              <w:top w:w="0" w:type="dxa"/>
              <w:left w:w="108" w:type="dxa"/>
              <w:bottom w:w="0" w:type="dxa"/>
              <w:right w:w="108" w:type="dxa"/>
            </w:tcMar>
            <w:hideMark/>
          </w:tcPr>
          <w:p w14:paraId="4E2E23E0" w14:textId="1305356B" w:rsidR="007C00E0" w:rsidRDefault="007C00E0" w:rsidP="007C00E0">
            <w:pPr>
              <w:pStyle w:val="TableText0"/>
            </w:pPr>
            <w:r w:rsidRPr="00325B0D">
              <w:rPr>
                <w:sz w:val="20"/>
                <w:szCs w:val="20"/>
              </w:rPr>
              <w:t>Tomato</w:t>
            </w:r>
          </w:p>
        </w:tc>
        <w:tc>
          <w:tcPr>
            <w:tcW w:w="1417" w:type="pct"/>
            <w:tcMar>
              <w:top w:w="0" w:type="dxa"/>
              <w:left w:w="108" w:type="dxa"/>
              <w:bottom w:w="0" w:type="dxa"/>
              <w:right w:w="108" w:type="dxa"/>
            </w:tcMar>
            <w:hideMark/>
          </w:tcPr>
          <w:p w14:paraId="5B233193" w14:textId="0A25D6F5" w:rsidR="007C00E0" w:rsidRDefault="007C00E0" w:rsidP="007C00E0">
            <w:pPr>
              <w:pStyle w:val="TableText0"/>
            </w:pPr>
            <w:r w:rsidRPr="00325B0D">
              <w:rPr>
                <w:rFonts w:cs="Arial"/>
                <w:sz w:val="20"/>
                <w:szCs w:val="20"/>
              </w:rPr>
              <w:t>Bao et al. 2020</w:t>
            </w:r>
          </w:p>
        </w:tc>
        <w:tc>
          <w:tcPr>
            <w:tcW w:w="576" w:type="pct"/>
            <w:tcMar>
              <w:top w:w="0" w:type="dxa"/>
              <w:left w:w="108" w:type="dxa"/>
              <w:bottom w:w="0" w:type="dxa"/>
              <w:right w:w="108" w:type="dxa"/>
            </w:tcMar>
            <w:hideMark/>
          </w:tcPr>
          <w:p w14:paraId="7031AF23" w14:textId="621A4D02" w:rsidR="007C00E0" w:rsidRDefault="007C00E0" w:rsidP="007C00E0">
            <w:pPr>
              <w:pStyle w:val="TableText0"/>
            </w:pPr>
            <w:r w:rsidRPr="00325B0D">
              <w:rPr>
                <w:sz w:val="20"/>
                <w:szCs w:val="20"/>
              </w:rPr>
              <w:t>0.06</w:t>
            </w:r>
          </w:p>
        </w:tc>
      </w:tr>
      <w:tr w:rsidR="007C00E0" w14:paraId="15E85CA4" w14:textId="77777777" w:rsidTr="003439A8">
        <w:trPr>
          <w:trHeight w:val="326"/>
        </w:trPr>
        <w:tc>
          <w:tcPr>
            <w:tcW w:w="1310" w:type="pct"/>
            <w:vMerge w:val="restart"/>
            <w:tcBorders>
              <w:top w:val="single" w:sz="4" w:space="0" w:color="auto"/>
              <w:left w:val="nil"/>
              <w:bottom w:val="single" w:sz="4" w:space="0" w:color="auto"/>
              <w:right w:val="nil"/>
            </w:tcBorders>
            <w:hideMark/>
          </w:tcPr>
          <w:p w14:paraId="59E7748B" w14:textId="5A31BCA7" w:rsidR="007C00E0" w:rsidRPr="007C00E0" w:rsidRDefault="007C00E0" w:rsidP="007C00E0">
            <w:pPr>
              <w:pStyle w:val="TableText0"/>
            </w:pPr>
            <w:r w:rsidRPr="007C00E0">
              <w:t>PFOA</w:t>
            </w:r>
          </w:p>
        </w:tc>
        <w:tc>
          <w:tcPr>
            <w:tcW w:w="1095" w:type="pct"/>
            <w:tcMar>
              <w:top w:w="0" w:type="dxa"/>
              <w:left w:w="108" w:type="dxa"/>
              <w:bottom w:w="0" w:type="dxa"/>
              <w:right w:w="108" w:type="dxa"/>
            </w:tcMar>
            <w:hideMark/>
          </w:tcPr>
          <w:p w14:paraId="1F6ED110" w14:textId="4CFCFAD1" w:rsidR="007C00E0" w:rsidRDefault="007C00E0" w:rsidP="007C00E0">
            <w:pPr>
              <w:pStyle w:val="TableText0"/>
            </w:pPr>
            <w:r w:rsidRPr="00325B0D">
              <w:rPr>
                <w:sz w:val="20"/>
                <w:szCs w:val="20"/>
              </w:rPr>
              <w:t>Green vegetables</w:t>
            </w:r>
          </w:p>
        </w:tc>
        <w:tc>
          <w:tcPr>
            <w:tcW w:w="602" w:type="pct"/>
            <w:tcMar>
              <w:top w:w="0" w:type="dxa"/>
              <w:left w:w="108" w:type="dxa"/>
              <w:bottom w:w="0" w:type="dxa"/>
              <w:right w:w="108" w:type="dxa"/>
            </w:tcMar>
            <w:hideMark/>
          </w:tcPr>
          <w:p w14:paraId="7957211C" w14:textId="4905F4A1" w:rsidR="007C00E0" w:rsidRDefault="007C00E0" w:rsidP="007C00E0">
            <w:pPr>
              <w:pStyle w:val="TableText0"/>
            </w:pPr>
            <w:r w:rsidRPr="00325B0D">
              <w:rPr>
                <w:sz w:val="20"/>
                <w:szCs w:val="20"/>
              </w:rPr>
              <w:t>Chicory</w:t>
            </w:r>
          </w:p>
        </w:tc>
        <w:tc>
          <w:tcPr>
            <w:tcW w:w="1417" w:type="pct"/>
            <w:tcMar>
              <w:top w:w="0" w:type="dxa"/>
              <w:left w:w="108" w:type="dxa"/>
              <w:bottom w:w="0" w:type="dxa"/>
              <w:right w:w="108" w:type="dxa"/>
            </w:tcMar>
            <w:hideMark/>
          </w:tcPr>
          <w:p w14:paraId="1E9E2842" w14:textId="3BBF8AD3" w:rsidR="007C00E0" w:rsidRDefault="007C00E0" w:rsidP="007C00E0">
            <w:pPr>
              <w:pStyle w:val="TableText0"/>
            </w:pPr>
            <w:proofErr w:type="spellStart"/>
            <w:r w:rsidRPr="00325B0D">
              <w:rPr>
                <w:sz w:val="20"/>
                <w:szCs w:val="20"/>
              </w:rPr>
              <w:t>Gredelj</w:t>
            </w:r>
            <w:proofErr w:type="spellEnd"/>
            <w:r w:rsidRPr="00325B0D">
              <w:rPr>
                <w:sz w:val="20"/>
                <w:szCs w:val="20"/>
              </w:rPr>
              <w:t xml:space="preserve"> et al. 2020</w:t>
            </w:r>
          </w:p>
        </w:tc>
        <w:tc>
          <w:tcPr>
            <w:tcW w:w="576" w:type="pct"/>
            <w:tcMar>
              <w:top w:w="0" w:type="dxa"/>
              <w:left w:w="108" w:type="dxa"/>
              <w:bottom w:w="0" w:type="dxa"/>
              <w:right w:w="108" w:type="dxa"/>
            </w:tcMar>
            <w:hideMark/>
          </w:tcPr>
          <w:p w14:paraId="347B33D5" w14:textId="5D7C1883" w:rsidR="007C00E0" w:rsidRDefault="007C00E0" w:rsidP="007C00E0">
            <w:pPr>
              <w:pStyle w:val="TableText0"/>
            </w:pPr>
            <w:r w:rsidRPr="00325B0D">
              <w:rPr>
                <w:sz w:val="20"/>
                <w:szCs w:val="20"/>
              </w:rPr>
              <w:t>0.14</w:t>
            </w:r>
          </w:p>
        </w:tc>
      </w:tr>
      <w:tr w:rsidR="007C00E0" w14:paraId="4BF89325" w14:textId="77777777" w:rsidTr="003439A8">
        <w:trPr>
          <w:trHeight w:val="326"/>
        </w:trPr>
        <w:tc>
          <w:tcPr>
            <w:tcW w:w="1310" w:type="pct"/>
            <w:vMerge/>
            <w:tcBorders>
              <w:top w:val="single" w:sz="4" w:space="0" w:color="auto"/>
              <w:left w:val="nil"/>
              <w:bottom w:val="single" w:sz="4" w:space="0" w:color="auto"/>
              <w:right w:val="nil"/>
            </w:tcBorders>
            <w:vAlign w:val="center"/>
            <w:hideMark/>
          </w:tcPr>
          <w:p w14:paraId="0E36C3D7" w14:textId="77777777" w:rsidR="007C00E0" w:rsidRPr="00DA71B8" w:rsidRDefault="007C00E0" w:rsidP="007C00E0">
            <w:pPr>
              <w:pStyle w:val="TableText0"/>
            </w:pPr>
          </w:p>
        </w:tc>
        <w:tc>
          <w:tcPr>
            <w:tcW w:w="1095" w:type="pct"/>
            <w:tcMar>
              <w:top w:w="0" w:type="dxa"/>
              <w:left w:w="108" w:type="dxa"/>
              <w:bottom w:w="0" w:type="dxa"/>
              <w:right w:w="108" w:type="dxa"/>
            </w:tcMar>
            <w:hideMark/>
          </w:tcPr>
          <w:p w14:paraId="6603D4C9" w14:textId="35BD0457" w:rsidR="007C00E0" w:rsidRDefault="007C00E0" w:rsidP="007C00E0">
            <w:pPr>
              <w:pStyle w:val="TableText0"/>
            </w:pPr>
            <w:r w:rsidRPr="00325B0D">
              <w:rPr>
                <w:sz w:val="20"/>
                <w:szCs w:val="20"/>
              </w:rPr>
              <w:t>Root vegetables</w:t>
            </w:r>
          </w:p>
        </w:tc>
        <w:tc>
          <w:tcPr>
            <w:tcW w:w="602" w:type="pct"/>
            <w:tcMar>
              <w:top w:w="0" w:type="dxa"/>
              <w:left w:w="108" w:type="dxa"/>
              <w:bottom w:w="0" w:type="dxa"/>
              <w:right w:w="108" w:type="dxa"/>
            </w:tcMar>
            <w:hideMark/>
          </w:tcPr>
          <w:p w14:paraId="3C072060" w14:textId="016EA64D" w:rsidR="007C00E0" w:rsidRDefault="007C00E0" w:rsidP="007C00E0">
            <w:pPr>
              <w:pStyle w:val="TableText0"/>
            </w:pPr>
            <w:r w:rsidRPr="00325B0D">
              <w:rPr>
                <w:sz w:val="20"/>
                <w:szCs w:val="20"/>
              </w:rPr>
              <w:t>Radish</w:t>
            </w:r>
          </w:p>
        </w:tc>
        <w:tc>
          <w:tcPr>
            <w:tcW w:w="1417" w:type="pct"/>
            <w:tcMar>
              <w:top w:w="0" w:type="dxa"/>
              <w:left w:w="108" w:type="dxa"/>
              <w:bottom w:w="0" w:type="dxa"/>
              <w:right w:w="108" w:type="dxa"/>
            </w:tcMar>
            <w:hideMark/>
          </w:tcPr>
          <w:p w14:paraId="7871D84A" w14:textId="36CA480E" w:rsidR="007C00E0" w:rsidRDefault="007C00E0" w:rsidP="007C00E0">
            <w:pPr>
              <w:pStyle w:val="TableText0"/>
            </w:pPr>
            <w:proofErr w:type="spellStart"/>
            <w:r w:rsidRPr="00325B0D">
              <w:rPr>
                <w:sz w:val="20"/>
                <w:szCs w:val="20"/>
              </w:rPr>
              <w:t>Lasee</w:t>
            </w:r>
            <w:proofErr w:type="spellEnd"/>
            <w:r w:rsidRPr="00325B0D">
              <w:rPr>
                <w:sz w:val="20"/>
                <w:szCs w:val="20"/>
              </w:rPr>
              <w:t xml:space="preserve"> et al. 2019</w:t>
            </w:r>
          </w:p>
        </w:tc>
        <w:tc>
          <w:tcPr>
            <w:tcW w:w="576" w:type="pct"/>
            <w:tcMar>
              <w:top w:w="0" w:type="dxa"/>
              <w:left w:w="108" w:type="dxa"/>
              <w:bottom w:w="0" w:type="dxa"/>
              <w:right w:w="108" w:type="dxa"/>
            </w:tcMar>
            <w:hideMark/>
          </w:tcPr>
          <w:p w14:paraId="428391C8" w14:textId="396CAFED" w:rsidR="007C00E0" w:rsidRDefault="007C00E0" w:rsidP="007C00E0">
            <w:pPr>
              <w:pStyle w:val="TableText0"/>
            </w:pPr>
            <w:r w:rsidRPr="00325B0D">
              <w:rPr>
                <w:sz w:val="20"/>
                <w:szCs w:val="20"/>
              </w:rPr>
              <w:t>0.93</w:t>
            </w:r>
          </w:p>
        </w:tc>
      </w:tr>
      <w:tr w:rsidR="007C00E0" w14:paraId="64761E1E" w14:textId="77777777" w:rsidTr="003439A8">
        <w:trPr>
          <w:trHeight w:val="335"/>
        </w:trPr>
        <w:tc>
          <w:tcPr>
            <w:tcW w:w="1310" w:type="pct"/>
            <w:vMerge/>
            <w:tcBorders>
              <w:top w:val="single" w:sz="4" w:space="0" w:color="auto"/>
              <w:left w:val="nil"/>
              <w:bottom w:val="single" w:sz="4" w:space="0" w:color="auto"/>
              <w:right w:val="nil"/>
            </w:tcBorders>
            <w:vAlign w:val="center"/>
            <w:hideMark/>
          </w:tcPr>
          <w:p w14:paraId="1A31D460" w14:textId="77777777" w:rsidR="007C00E0" w:rsidRPr="00DA71B8" w:rsidRDefault="007C00E0" w:rsidP="007C00E0">
            <w:pPr>
              <w:pStyle w:val="TableText0"/>
            </w:pPr>
          </w:p>
        </w:tc>
        <w:tc>
          <w:tcPr>
            <w:tcW w:w="1095" w:type="pct"/>
            <w:tcMar>
              <w:top w:w="0" w:type="dxa"/>
              <w:left w:w="108" w:type="dxa"/>
              <w:bottom w:w="0" w:type="dxa"/>
              <w:right w:w="108" w:type="dxa"/>
            </w:tcMar>
            <w:hideMark/>
          </w:tcPr>
          <w:p w14:paraId="04AD29DD" w14:textId="0EBFB15D" w:rsidR="007C00E0" w:rsidRDefault="007C00E0" w:rsidP="007C00E0">
            <w:pPr>
              <w:pStyle w:val="TableText0"/>
            </w:pPr>
            <w:r w:rsidRPr="00325B0D">
              <w:rPr>
                <w:sz w:val="20"/>
                <w:szCs w:val="20"/>
              </w:rPr>
              <w:t>Tuber vegetables</w:t>
            </w:r>
          </w:p>
        </w:tc>
        <w:tc>
          <w:tcPr>
            <w:tcW w:w="602" w:type="pct"/>
            <w:tcMar>
              <w:top w:w="0" w:type="dxa"/>
              <w:left w:w="108" w:type="dxa"/>
              <w:bottom w:w="0" w:type="dxa"/>
              <w:right w:w="108" w:type="dxa"/>
            </w:tcMar>
            <w:hideMark/>
          </w:tcPr>
          <w:p w14:paraId="022BC59A" w14:textId="0FC09C0D" w:rsidR="007C00E0" w:rsidRDefault="007C00E0" w:rsidP="007C00E0">
            <w:pPr>
              <w:pStyle w:val="TableText0"/>
            </w:pPr>
            <w:r w:rsidRPr="00325B0D">
              <w:rPr>
                <w:sz w:val="20"/>
                <w:szCs w:val="20"/>
              </w:rPr>
              <w:t>Potato</w:t>
            </w:r>
          </w:p>
        </w:tc>
        <w:tc>
          <w:tcPr>
            <w:tcW w:w="1417" w:type="pct"/>
            <w:tcMar>
              <w:top w:w="0" w:type="dxa"/>
              <w:left w:w="108" w:type="dxa"/>
              <w:bottom w:w="0" w:type="dxa"/>
              <w:right w:w="108" w:type="dxa"/>
            </w:tcMar>
            <w:hideMark/>
          </w:tcPr>
          <w:p w14:paraId="64484EE7" w14:textId="133D2B83" w:rsidR="007C00E0" w:rsidRDefault="007C00E0" w:rsidP="007C00E0">
            <w:pPr>
              <w:pStyle w:val="TableText0"/>
            </w:pPr>
            <w:r w:rsidRPr="00325B0D">
              <w:rPr>
                <w:color w:val="000000"/>
                <w:sz w:val="20"/>
                <w:szCs w:val="20"/>
              </w:rPr>
              <w:t>Lechner &amp; Knapp 2011</w:t>
            </w:r>
          </w:p>
        </w:tc>
        <w:tc>
          <w:tcPr>
            <w:tcW w:w="576" w:type="pct"/>
            <w:tcMar>
              <w:top w:w="0" w:type="dxa"/>
              <w:left w:w="108" w:type="dxa"/>
              <w:bottom w:w="0" w:type="dxa"/>
              <w:right w:w="108" w:type="dxa"/>
            </w:tcMar>
            <w:hideMark/>
          </w:tcPr>
          <w:p w14:paraId="4507E955" w14:textId="1A128EC8" w:rsidR="007C00E0" w:rsidRDefault="007C00E0" w:rsidP="007C00E0">
            <w:pPr>
              <w:pStyle w:val="TableText0"/>
            </w:pPr>
            <w:r w:rsidRPr="00325B0D">
              <w:rPr>
                <w:sz w:val="20"/>
                <w:szCs w:val="20"/>
              </w:rPr>
              <w:t>0.03</w:t>
            </w:r>
          </w:p>
        </w:tc>
      </w:tr>
      <w:tr w:rsidR="007C00E0" w14:paraId="4AECC8E6" w14:textId="77777777" w:rsidTr="003439A8">
        <w:trPr>
          <w:trHeight w:val="326"/>
        </w:trPr>
        <w:tc>
          <w:tcPr>
            <w:tcW w:w="1310" w:type="pct"/>
            <w:vMerge/>
            <w:tcBorders>
              <w:top w:val="single" w:sz="4" w:space="0" w:color="auto"/>
              <w:left w:val="nil"/>
              <w:bottom w:val="single" w:sz="4" w:space="0" w:color="auto"/>
              <w:right w:val="nil"/>
            </w:tcBorders>
            <w:vAlign w:val="center"/>
            <w:hideMark/>
          </w:tcPr>
          <w:p w14:paraId="226E5D9C" w14:textId="77777777" w:rsidR="007C00E0" w:rsidRPr="00DA71B8" w:rsidRDefault="007C00E0" w:rsidP="007C00E0">
            <w:pPr>
              <w:pStyle w:val="TableText0"/>
            </w:pPr>
          </w:p>
        </w:tc>
        <w:tc>
          <w:tcPr>
            <w:tcW w:w="1095" w:type="pct"/>
            <w:tcMar>
              <w:top w:w="0" w:type="dxa"/>
              <w:left w:w="108" w:type="dxa"/>
              <w:bottom w:w="0" w:type="dxa"/>
              <w:right w:w="108" w:type="dxa"/>
            </w:tcMar>
            <w:hideMark/>
          </w:tcPr>
          <w:p w14:paraId="7F09F50C" w14:textId="70B4F3A7" w:rsidR="007C00E0" w:rsidRDefault="007C00E0" w:rsidP="007C00E0">
            <w:pPr>
              <w:pStyle w:val="TableText0"/>
              <w:rPr>
                <w:bCs/>
              </w:rPr>
            </w:pPr>
            <w:r w:rsidRPr="00325B0D">
              <w:rPr>
                <w:sz w:val="20"/>
                <w:szCs w:val="20"/>
              </w:rPr>
              <w:t>Fruit</w:t>
            </w:r>
          </w:p>
        </w:tc>
        <w:tc>
          <w:tcPr>
            <w:tcW w:w="602" w:type="pct"/>
            <w:tcMar>
              <w:top w:w="0" w:type="dxa"/>
              <w:left w:w="108" w:type="dxa"/>
              <w:bottom w:w="0" w:type="dxa"/>
              <w:right w:w="108" w:type="dxa"/>
            </w:tcMar>
            <w:hideMark/>
          </w:tcPr>
          <w:p w14:paraId="3C0AC339" w14:textId="7E48422C" w:rsidR="007C00E0" w:rsidRDefault="007C00E0" w:rsidP="007C00E0">
            <w:pPr>
              <w:pStyle w:val="TableText0"/>
            </w:pPr>
            <w:r w:rsidRPr="00325B0D">
              <w:rPr>
                <w:sz w:val="20"/>
                <w:szCs w:val="20"/>
              </w:rPr>
              <w:t>Tomato</w:t>
            </w:r>
          </w:p>
        </w:tc>
        <w:tc>
          <w:tcPr>
            <w:tcW w:w="1417" w:type="pct"/>
            <w:tcMar>
              <w:top w:w="0" w:type="dxa"/>
              <w:left w:w="108" w:type="dxa"/>
              <w:bottom w:w="0" w:type="dxa"/>
              <w:right w:w="108" w:type="dxa"/>
            </w:tcMar>
            <w:hideMark/>
          </w:tcPr>
          <w:p w14:paraId="03F030E9" w14:textId="143E4F89" w:rsidR="007C00E0" w:rsidRDefault="007C00E0" w:rsidP="007C00E0">
            <w:pPr>
              <w:pStyle w:val="TableText0"/>
            </w:pPr>
            <w:r w:rsidRPr="00325B0D">
              <w:rPr>
                <w:sz w:val="20"/>
                <w:szCs w:val="20"/>
              </w:rPr>
              <w:t>Bao et al. 2020</w:t>
            </w:r>
          </w:p>
        </w:tc>
        <w:tc>
          <w:tcPr>
            <w:tcW w:w="576" w:type="pct"/>
            <w:tcMar>
              <w:top w:w="0" w:type="dxa"/>
              <w:left w:w="108" w:type="dxa"/>
              <w:bottom w:w="0" w:type="dxa"/>
              <w:right w:w="108" w:type="dxa"/>
            </w:tcMar>
            <w:hideMark/>
          </w:tcPr>
          <w:p w14:paraId="30910DE6" w14:textId="3A1E6496" w:rsidR="007C00E0" w:rsidRDefault="007C00E0" w:rsidP="007C00E0">
            <w:pPr>
              <w:pStyle w:val="TableText0"/>
            </w:pPr>
            <w:r w:rsidRPr="00325B0D">
              <w:rPr>
                <w:sz w:val="20"/>
                <w:szCs w:val="20"/>
              </w:rPr>
              <w:t>0.039</w:t>
            </w:r>
          </w:p>
        </w:tc>
      </w:tr>
    </w:tbl>
    <w:p w14:paraId="0ADD722E" w14:textId="04B238A1" w:rsidR="00764D6A" w:rsidRDefault="007C00E0" w:rsidP="007C00E0">
      <w:pPr>
        <w:pStyle w:val="Normalsmall"/>
        <w:rPr>
          <w:noProof/>
        </w:rPr>
      </w:pPr>
      <w:r>
        <w:rPr>
          <w:noProof/>
        </w:rPr>
        <w:t>Notes</w:t>
      </w:r>
    </w:p>
    <w:p w14:paraId="443329B7" w14:textId="47770CAC" w:rsidR="007C00E0" w:rsidRDefault="007C00E0" w:rsidP="007C00E0">
      <w:pPr>
        <w:pStyle w:val="Normalsmall"/>
        <w:rPr>
          <w:sz w:val="20"/>
          <w:szCs w:val="20"/>
        </w:rPr>
      </w:pPr>
      <w:r>
        <w:rPr>
          <w:sz w:val="20"/>
          <w:szCs w:val="20"/>
          <w:vertAlign w:val="superscript"/>
        </w:rPr>
        <w:t xml:space="preserve">a </w:t>
      </w:r>
      <w:r w:rsidRPr="00325B0D">
        <w:rPr>
          <w:sz w:val="20"/>
          <w:szCs w:val="20"/>
        </w:rPr>
        <w:t xml:space="preserve">TFs for PFOS + </w:t>
      </w:r>
      <w:proofErr w:type="spellStart"/>
      <w:r w:rsidRPr="00325B0D">
        <w:rPr>
          <w:sz w:val="20"/>
          <w:szCs w:val="20"/>
        </w:rPr>
        <w:t>PFHxS</w:t>
      </w:r>
      <w:proofErr w:type="spellEnd"/>
      <w:r w:rsidRPr="00325B0D">
        <w:rPr>
          <w:sz w:val="20"/>
          <w:szCs w:val="20"/>
        </w:rPr>
        <w:t xml:space="preserve"> have been calculated using the geometric mean of limited data for </w:t>
      </w:r>
      <w:proofErr w:type="spellStart"/>
      <w:r w:rsidRPr="00325B0D">
        <w:rPr>
          <w:sz w:val="20"/>
          <w:szCs w:val="20"/>
        </w:rPr>
        <w:t>PFHxS</w:t>
      </w:r>
      <w:proofErr w:type="spellEnd"/>
      <w:r w:rsidRPr="00325B0D">
        <w:rPr>
          <w:sz w:val="20"/>
          <w:szCs w:val="20"/>
        </w:rPr>
        <w:t xml:space="preserve"> TFs as a multiplier to ‘correct’ PFOS TFs, and assuming 50:50 proportions of PFOS and </w:t>
      </w:r>
      <w:proofErr w:type="spellStart"/>
      <w:r w:rsidRPr="00325B0D">
        <w:rPr>
          <w:sz w:val="20"/>
          <w:szCs w:val="20"/>
        </w:rPr>
        <w:t>PFHxS</w:t>
      </w:r>
      <w:proofErr w:type="spellEnd"/>
      <w:r w:rsidRPr="00325B0D">
        <w:rPr>
          <w:sz w:val="20"/>
          <w:szCs w:val="20"/>
        </w:rPr>
        <w:t xml:space="preserve"> concentrations (for further information see </w:t>
      </w:r>
      <w:hyperlink w:anchor="_Appendix_A_:" w:history="1">
        <w:r w:rsidRPr="00110CD0">
          <w:rPr>
            <w:rStyle w:val="Hyperlink"/>
            <w:sz w:val="20"/>
            <w:szCs w:val="20"/>
          </w:rPr>
          <w:t>Appendix A</w:t>
        </w:r>
      </w:hyperlink>
      <w:r w:rsidRPr="00325B0D">
        <w:rPr>
          <w:sz w:val="20"/>
          <w:szCs w:val="20"/>
        </w:rPr>
        <w:t>).</w:t>
      </w:r>
    </w:p>
    <w:p w14:paraId="53F692D9" w14:textId="356C842C" w:rsidR="00A16B11" w:rsidRDefault="00A16B11" w:rsidP="007C00E0">
      <w:pPr>
        <w:pStyle w:val="Normalsmall"/>
        <w:rPr>
          <w:sz w:val="20"/>
          <w:szCs w:val="20"/>
        </w:rPr>
      </w:pPr>
    </w:p>
    <w:p w14:paraId="1F1750B2" w14:textId="77777777" w:rsidR="00A16B11" w:rsidRPr="00586CD7" w:rsidRDefault="00A16B11" w:rsidP="007C00E0">
      <w:pPr>
        <w:pStyle w:val="Normalsmall"/>
      </w:pPr>
    </w:p>
    <w:p w14:paraId="348E0F63" w14:textId="31468CBA" w:rsidR="0002250F" w:rsidRPr="00A83A2C" w:rsidRDefault="00892B1B" w:rsidP="00892B1B">
      <w:pPr>
        <w:spacing w:after="0" w:line="240" w:lineRule="auto"/>
      </w:pPr>
      <w:r>
        <w:br w:type="page"/>
      </w:r>
    </w:p>
    <w:p w14:paraId="6AC83442" w14:textId="0273544C" w:rsidR="00764D6A" w:rsidRDefault="00377209">
      <w:pPr>
        <w:pStyle w:val="Heading3"/>
      </w:pPr>
      <w:bookmarkStart w:id="21" w:name="_Calulating_Transfer_Factors"/>
      <w:bookmarkStart w:id="22" w:name="_Toc112151557"/>
      <w:bookmarkEnd w:id="21"/>
      <w:proofErr w:type="spellStart"/>
      <w:r>
        <w:lastRenderedPageBreak/>
        <w:t>Calulating</w:t>
      </w:r>
      <w:proofErr w:type="spellEnd"/>
      <w:r>
        <w:t xml:space="preserve"> </w:t>
      </w:r>
      <w:r w:rsidR="0005612E">
        <w:t>Transfer Factors</w:t>
      </w:r>
      <w:bookmarkEnd w:id="22"/>
    </w:p>
    <w:p w14:paraId="4A08AF3A" w14:textId="77777777" w:rsidR="00D001BB" w:rsidRDefault="00D001BB" w:rsidP="00D001BB">
      <w:pPr>
        <w:pStyle w:val="Heading4"/>
        <w:numPr>
          <w:ilvl w:val="0"/>
          <w:numId w:val="0"/>
        </w:numPr>
        <w:rPr>
          <w:rFonts w:ascii="Cambria" w:eastAsiaTheme="minorHAnsi" w:hAnsi="Cambria" w:cstheme="minorBidi"/>
          <w:b w:val="0"/>
          <w:bCs w:val="0"/>
          <w:color w:val="auto"/>
          <w:sz w:val="22"/>
          <w:szCs w:val="22"/>
        </w:rPr>
      </w:pPr>
    </w:p>
    <w:p w14:paraId="3E126A9C" w14:textId="5D2B5A95" w:rsidR="00E07DC6" w:rsidRDefault="00E07DC6" w:rsidP="00E07DC6">
      <w:r w:rsidRPr="00E07DC6">
        <w:t xml:space="preserve">The soil to plant TFs </w:t>
      </w:r>
      <w:proofErr w:type="gramStart"/>
      <w:r w:rsidRPr="00E07DC6">
        <w:t>are</w:t>
      </w:r>
      <w:proofErr w:type="gramEnd"/>
      <w:r w:rsidRPr="00E07DC6">
        <w:t xml:space="preserve"> calculated according to Equation 1. For calculating the TFs, wet weight TFs were used. Where data were not available to directly calculate wet weight TFs, dry weight TFs were converted to wet weight TFs using literature values for plant moisture contents (Equation </w:t>
      </w:r>
      <w:r w:rsidR="00924DF5">
        <w:t>2</w:t>
      </w:r>
      <w:r w:rsidRPr="00E07DC6">
        <w:t>).</w:t>
      </w:r>
    </w:p>
    <w:p w14:paraId="039CED51" w14:textId="1FAE7A7A" w:rsidR="000878D2" w:rsidRPr="001118A0" w:rsidRDefault="00D244FF" w:rsidP="001118A0">
      <w:r>
        <w:rPr>
          <w:noProof/>
        </w:rPr>
        <mc:AlternateContent>
          <mc:Choice Requires="wps">
            <w:drawing>
              <wp:anchor distT="0" distB="0" distL="114300" distR="114300" simplePos="0" relativeHeight="251668480" behindDoc="0" locked="0" layoutInCell="1" allowOverlap="1" wp14:anchorId="58B80433" wp14:editId="058D00AA">
                <wp:simplePos x="0" y="0"/>
                <wp:positionH relativeFrom="column">
                  <wp:posOffset>-5246</wp:posOffset>
                </wp:positionH>
                <wp:positionV relativeFrom="paragraph">
                  <wp:posOffset>38100</wp:posOffset>
                </wp:positionV>
                <wp:extent cx="914400" cy="457200"/>
                <wp:effectExtent l="0" t="0" r="0" b="0"/>
                <wp:wrapThrough wrapText="bothSides">
                  <wp:wrapPolygon edited="0">
                    <wp:start x="0" y="0"/>
                    <wp:lineTo x="0" y="20700"/>
                    <wp:lineTo x="21150" y="20700"/>
                    <wp:lineTo x="2115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prstClr val="white"/>
                        </a:solidFill>
                        <a:ln>
                          <a:noFill/>
                        </a:ln>
                      </wps:spPr>
                      <wps:txbx>
                        <w:txbxContent>
                          <w:p w14:paraId="1110D0E2" w14:textId="01331B0A" w:rsidR="00D244FF" w:rsidRPr="008F3C64" w:rsidRDefault="00D244FF" w:rsidP="004636DE">
                            <w:pPr>
                              <w:pStyle w:val="Caption"/>
                              <w:jc w:val="both"/>
                              <w:rPr>
                                <w:rFonts w:eastAsia="Times New Roman" w:cs="Arial"/>
                              </w:rPr>
                            </w:pPr>
                            <w:r>
                              <w:t xml:space="preserve">Equation </w:t>
                            </w:r>
                            <w:r w:rsidR="008D7C8F">
                              <w:fldChar w:fldCharType="begin"/>
                            </w:r>
                            <w:r w:rsidR="008D7C8F">
                              <w:instrText xml:space="preserve"> SEQ Equation \* ARABIC </w:instrText>
                            </w:r>
                            <w:r w:rsidR="008D7C8F">
                              <w:fldChar w:fldCharType="separate"/>
                            </w:r>
                            <w:r>
                              <w:rPr>
                                <w:noProof/>
                              </w:rPr>
                              <w:t>1</w:t>
                            </w:r>
                            <w:r w:rsidR="008D7C8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8B80433" id="_x0000_t202" coordsize="21600,21600" o:spt="202" path="m,l,21600r21600,l21600,xe">
                <v:stroke joinstyle="miter"/>
                <v:path gradientshapeok="t" o:connecttype="rect"/>
              </v:shapetype>
              <v:shape id="Text Box 12" o:spid="_x0000_s1026" type="#_x0000_t202" style="position:absolute;margin-left:-.4pt;margin-top:3pt;width:1in;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" stroked="f">
                <v:textbox inset="0,0,0,0">
                  <w:txbxContent>
                    <w:p w14:paraId="1110D0E2" w14:textId="01331B0A" w:rsidR="00D244FF" w:rsidRPr="008F3C64" w:rsidRDefault="00D244FF" w:rsidP="004636DE">
                      <w:pPr>
                        <w:pStyle w:val="Caption"/>
                        <w:jc w:val="both"/>
                        <w:rPr>
                          <w:rFonts w:eastAsia="Times New Roman" w:cs="Arial"/>
                        </w:rPr>
                      </w:pPr>
                      <w:r>
                        <w:t xml:space="preserve">Equation </w:t>
                      </w:r>
                      <w:fldSimple w:instr=" SEQ Equation \* ARABIC ">
                        <w:r>
                          <w:rPr>
                            <w:noProof/>
                          </w:rPr>
                          <w:t>1</w:t>
                        </w:r>
                      </w:fldSimple>
                    </w:p>
                  </w:txbxContent>
                </v:textbox>
                <w10:wrap type="through"/>
              </v:shape>
            </w:pict>
          </mc:Fallback>
        </mc:AlternateContent>
      </w:r>
    </w:p>
    <w:p w14:paraId="47F38B27" w14:textId="4664E9C5" w:rsidR="001118A0" w:rsidRPr="001118A0" w:rsidRDefault="001118A0" w:rsidP="001118A0">
      <w:pPr>
        <w:rPr>
          <w:rFonts w:eastAsia="Times New Roman" w:cs="Arial"/>
        </w:rPr>
      </w:pPr>
      <w:r w:rsidRPr="001118A0">
        <w:rPr>
          <w:rFonts w:eastAsia="Times New Roman" w:cs="Arial"/>
        </w:rPr>
        <w:tab/>
      </w:r>
      <w:r w:rsidRPr="001118A0">
        <w:rPr>
          <w:rFonts w:eastAsia="Times New Roman" w:cs="Arial"/>
        </w:rPr>
        <w:tab/>
      </w:r>
      <w:r w:rsidR="003E176C">
        <w:rPr>
          <w:rFonts w:eastAsia="Times New Roman" w:cs="Arial"/>
        </w:rPr>
        <w:tab/>
      </w:r>
      <w:r w:rsidR="003E176C">
        <w:rPr>
          <w:rFonts w:eastAsia="Times New Roman" w:cs="Arial"/>
        </w:rPr>
        <w:tab/>
      </w:r>
      <w:r w:rsidR="003E176C">
        <w:rPr>
          <w:rFonts w:eastAsia="Times New Roman" w:cs="Arial"/>
        </w:rPr>
        <w:tab/>
      </w:r>
      <w:r w:rsidRPr="001118A0">
        <w:rPr>
          <w:rFonts w:eastAsia="Times New Roman" w:cs="Arial"/>
        </w:rPr>
        <w:tab/>
      </w:r>
      <w:r w:rsidR="00F07B7B" w:rsidRPr="00EF6C11">
        <w:rPr>
          <w:noProof/>
        </w:rPr>
        <w:drawing>
          <wp:anchor distT="0" distB="0" distL="114300" distR="114300" simplePos="0" relativeHeight="251661312" behindDoc="0" locked="0" layoutInCell="1" allowOverlap="1" wp14:anchorId="2B77EBB5" wp14:editId="4B28BE44">
            <wp:simplePos x="0" y="0"/>
            <wp:positionH relativeFrom="column">
              <wp:posOffset>1370330</wp:posOffset>
            </wp:positionH>
            <wp:positionV relativeFrom="paragraph">
              <wp:posOffset>-2540</wp:posOffset>
            </wp:positionV>
            <wp:extent cx="857250" cy="501650"/>
            <wp:effectExtent l="0" t="0" r="0" b="0"/>
            <wp:wrapThrough wrapText="bothSides">
              <wp:wrapPolygon edited="0">
                <wp:start x="10080" y="0"/>
                <wp:lineTo x="1440" y="4922"/>
                <wp:lineTo x="1440" y="9023"/>
                <wp:lineTo x="12480" y="14765"/>
                <wp:lineTo x="18720" y="14765"/>
                <wp:lineTo x="20160" y="7382"/>
                <wp:lineTo x="18240" y="2461"/>
                <wp:lineTo x="13440" y="0"/>
                <wp:lineTo x="10080" y="0"/>
              </wp:wrapPolygon>
            </wp:wrapThrough>
            <wp:docPr id="1" name="Picture 1" descr="Equation where TF equals C plant over C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ation where TF equals C plant over C soil."/>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2337" r="42779"/>
                    <a:stretch/>
                  </pic:blipFill>
                  <pic:spPr bwMode="auto">
                    <a:xfrm>
                      <a:off x="0" y="0"/>
                      <a:ext cx="857250" cy="501650"/>
                    </a:xfrm>
                    <a:prstGeom prst="rect">
                      <a:avLst/>
                    </a:prstGeom>
                    <a:noFill/>
                    <a:ln>
                      <a:noFill/>
                    </a:ln>
                    <a:extLst>
                      <a:ext uri="{53640926-AAD7-44D8-BBD7-CCE9431645EC}">
                        <a14:shadowObscured xmlns:a14="http://schemas.microsoft.com/office/drawing/2010/main"/>
                      </a:ext>
                    </a:extLst>
                  </pic:spPr>
                </pic:pic>
              </a:graphicData>
            </a:graphic>
          </wp:anchor>
        </w:drawing>
      </w:r>
      <w:r w:rsidR="003E176C">
        <w:rPr>
          <w:rFonts w:eastAsia="Times New Roman" w:cs="Arial"/>
        </w:rPr>
        <w:tab/>
      </w:r>
    </w:p>
    <w:p w14:paraId="2B608B76" w14:textId="77777777" w:rsidR="000878D2" w:rsidRDefault="000878D2" w:rsidP="001118A0"/>
    <w:p w14:paraId="652E2278" w14:textId="73F2241E" w:rsidR="001118A0" w:rsidRPr="001118A0" w:rsidRDefault="001118A0" w:rsidP="004636DE">
      <w:pPr>
        <w:pStyle w:val="Normalsmall"/>
      </w:pPr>
      <w:r w:rsidRPr="001118A0">
        <w:t>where:</w:t>
      </w:r>
    </w:p>
    <w:p w14:paraId="35ED447D" w14:textId="77777777" w:rsidR="001118A0" w:rsidRPr="001118A0" w:rsidRDefault="001118A0" w:rsidP="004636DE">
      <w:pPr>
        <w:pStyle w:val="Normalsmall"/>
      </w:pPr>
      <w:proofErr w:type="spellStart"/>
      <w:r w:rsidRPr="001118A0">
        <w:t>C</w:t>
      </w:r>
      <w:r w:rsidRPr="001118A0">
        <w:rPr>
          <w:vertAlign w:val="subscript"/>
        </w:rPr>
        <w:t>plant</w:t>
      </w:r>
      <w:proofErr w:type="spellEnd"/>
      <w:r w:rsidRPr="001118A0">
        <w:tab/>
        <w:t>= concentration of PFOS or PFOA in wet weight of plant</w:t>
      </w:r>
    </w:p>
    <w:p w14:paraId="6A6942A7" w14:textId="1CC5C3CB" w:rsidR="001118A0" w:rsidRDefault="001118A0" w:rsidP="004636DE">
      <w:pPr>
        <w:pStyle w:val="Normalsmall"/>
      </w:pPr>
      <w:proofErr w:type="spellStart"/>
      <w:r w:rsidRPr="001118A0">
        <w:t>C</w:t>
      </w:r>
      <w:r w:rsidRPr="001118A0">
        <w:rPr>
          <w:vertAlign w:val="subscript"/>
        </w:rPr>
        <w:t>soil</w:t>
      </w:r>
      <w:proofErr w:type="spellEnd"/>
      <w:r w:rsidRPr="001118A0">
        <w:tab/>
        <w:t xml:space="preserve">= concentration of PFOS or PFOA in dry weight of soil </w:t>
      </w:r>
    </w:p>
    <w:p w14:paraId="69F505CE" w14:textId="22DCB847" w:rsidR="00F433DD" w:rsidRPr="001118A0" w:rsidRDefault="00D244FF" w:rsidP="001118A0">
      <w:r>
        <w:rPr>
          <w:noProof/>
        </w:rPr>
        <mc:AlternateContent>
          <mc:Choice Requires="wps">
            <w:drawing>
              <wp:anchor distT="0" distB="0" distL="114300" distR="114300" simplePos="0" relativeHeight="251670528" behindDoc="0" locked="0" layoutInCell="1" allowOverlap="1" wp14:anchorId="2833AB4B" wp14:editId="28652609">
                <wp:simplePos x="0" y="0"/>
                <wp:positionH relativeFrom="column">
                  <wp:posOffset>27387</wp:posOffset>
                </wp:positionH>
                <wp:positionV relativeFrom="paragraph">
                  <wp:posOffset>172555</wp:posOffset>
                </wp:positionV>
                <wp:extent cx="2241550" cy="457200"/>
                <wp:effectExtent l="0" t="0" r="6350" b="0"/>
                <wp:wrapThrough wrapText="bothSides">
                  <wp:wrapPolygon edited="0">
                    <wp:start x="0" y="0"/>
                    <wp:lineTo x="0" y="20700"/>
                    <wp:lineTo x="21478" y="20700"/>
                    <wp:lineTo x="21478"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241550" cy="457200"/>
                        </a:xfrm>
                        <a:prstGeom prst="rect">
                          <a:avLst/>
                        </a:prstGeom>
                        <a:solidFill>
                          <a:prstClr val="white"/>
                        </a:solidFill>
                        <a:ln>
                          <a:noFill/>
                        </a:ln>
                      </wps:spPr>
                      <wps:txbx>
                        <w:txbxContent>
                          <w:p w14:paraId="726E1F4F" w14:textId="3943885C" w:rsidR="00D244FF" w:rsidRPr="00456EFE" w:rsidRDefault="00D244FF" w:rsidP="004636DE">
                            <w:pPr>
                              <w:pStyle w:val="Caption"/>
                              <w:rPr>
                                <w:noProof/>
                              </w:rPr>
                            </w:pPr>
                            <w:r>
                              <w:t xml:space="preserve">Equation </w:t>
                            </w:r>
                            <w:r w:rsidR="008D7C8F">
                              <w:fldChar w:fldCharType="begin"/>
                            </w:r>
                            <w:r w:rsidR="008D7C8F">
                              <w:instrText xml:space="preserve"> SEQ Equation \* ARABIC </w:instrText>
                            </w:r>
                            <w:r w:rsidR="008D7C8F">
                              <w:fldChar w:fldCharType="separate"/>
                            </w:r>
                            <w:r>
                              <w:rPr>
                                <w:noProof/>
                              </w:rPr>
                              <w:t>2</w:t>
                            </w:r>
                            <w:r w:rsidR="008D7C8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833AB4B" id="Text Box 13" o:spid="_x0000_s1027" type="#_x0000_t202" style="position:absolute;margin-left:2.15pt;margin-top:13.6pt;width:176.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" stroked="f">
                <v:textbox inset="0,0,0,0">
                  <w:txbxContent>
                    <w:p w14:paraId="726E1F4F" w14:textId="3943885C" w:rsidR="00D244FF" w:rsidRPr="00456EFE" w:rsidRDefault="00D244FF" w:rsidP="004636DE">
                      <w:pPr>
                        <w:pStyle w:val="Caption"/>
                        <w:rPr>
                          <w:noProof/>
                        </w:rPr>
                      </w:pPr>
                      <w:r>
                        <w:t xml:space="preserve">Equation </w:t>
                      </w:r>
                      <w:fldSimple w:instr=" SEQ Equation \* ARABIC ">
                        <w:r>
                          <w:rPr>
                            <w:noProof/>
                          </w:rPr>
                          <w:t>2</w:t>
                        </w:r>
                      </w:fldSimple>
                    </w:p>
                  </w:txbxContent>
                </v:textbox>
                <w10:wrap type="through"/>
              </v:shape>
            </w:pict>
          </mc:Fallback>
        </mc:AlternateContent>
      </w:r>
    </w:p>
    <w:p w14:paraId="512856BC" w14:textId="77777777" w:rsidR="00F433DD" w:rsidRDefault="00F433DD" w:rsidP="00F07B7B">
      <w:pPr>
        <w:ind w:left="720"/>
        <w:rPr>
          <w:rFonts w:eastAsia="Times New Roman" w:cs="Arial"/>
        </w:rPr>
      </w:pPr>
    </w:p>
    <w:p w14:paraId="632EF94D" w14:textId="62865206" w:rsidR="001118A0" w:rsidRPr="001118A0" w:rsidRDefault="00F07B7B" w:rsidP="004636DE">
      <w:pPr>
        <w:rPr>
          <w:rFonts w:eastAsia="Times New Roman" w:cs="Arial"/>
        </w:rPr>
      </w:pPr>
      <w:r w:rsidRPr="00EF6C11">
        <w:rPr>
          <w:noProof/>
        </w:rPr>
        <w:drawing>
          <wp:anchor distT="0" distB="0" distL="114300" distR="114300" simplePos="0" relativeHeight="251660288" behindDoc="0" locked="0" layoutInCell="1" allowOverlap="1" wp14:anchorId="7186E4BF" wp14:editId="36555FDA">
            <wp:simplePos x="0" y="0"/>
            <wp:positionH relativeFrom="column">
              <wp:posOffset>768350</wp:posOffset>
            </wp:positionH>
            <wp:positionV relativeFrom="paragraph">
              <wp:posOffset>2540</wp:posOffset>
            </wp:positionV>
            <wp:extent cx="2241550" cy="469900"/>
            <wp:effectExtent l="0" t="0" r="0" b="0"/>
            <wp:wrapThrough wrapText="bothSides">
              <wp:wrapPolygon edited="0">
                <wp:start x="13768" y="0"/>
                <wp:lineTo x="918" y="4378"/>
                <wp:lineTo x="918" y="12259"/>
                <wp:lineTo x="15420" y="14886"/>
                <wp:lineTo x="18173" y="14886"/>
                <wp:lineTo x="19642" y="13135"/>
                <wp:lineTo x="20376" y="7881"/>
                <wp:lineTo x="20009" y="0"/>
                <wp:lineTo x="13768" y="0"/>
              </wp:wrapPolygon>
            </wp:wrapThrough>
            <wp:docPr id="3" name="Picture 3" descr="Equation where C plant equals C plant dry multiplied by open brackets 100 minus MC over 100 close brack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quation where C plant equals C plant dry multiplied by open brackets 100 minus MC over 100 close brackets. "/>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0540" r="30540"/>
                    <a:stretch/>
                  </pic:blipFill>
                  <pic:spPr bwMode="auto">
                    <a:xfrm>
                      <a:off x="0" y="0"/>
                      <a:ext cx="2241550" cy="469900"/>
                    </a:xfrm>
                    <a:prstGeom prst="rect">
                      <a:avLst/>
                    </a:prstGeom>
                    <a:noFill/>
                    <a:ln>
                      <a:noFill/>
                    </a:ln>
                    <a:extLst>
                      <a:ext uri="{53640926-AAD7-44D8-BBD7-CCE9431645EC}">
                        <a14:shadowObscured xmlns:a14="http://schemas.microsoft.com/office/drawing/2010/main"/>
                      </a:ext>
                    </a:extLst>
                  </pic:spPr>
                </pic:pic>
              </a:graphicData>
            </a:graphic>
          </wp:anchor>
        </w:drawing>
      </w:r>
    </w:p>
    <w:p w14:paraId="741D229D" w14:textId="77777777" w:rsidR="00F433DD" w:rsidRDefault="00F433DD" w:rsidP="001118A0"/>
    <w:p w14:paraId="1C1EE9BF" w14:textId="44C92855" w:rsidR="001118A0" w:rsidRPr="001118A0" w:rsidRDefault="001118A0" w:rsidP="004636DE">
      <w:pPr>
        <w:pStyle w:val="Normalsmall"/>
      </w:pPr>
      <w:r w:rsidRPr="001118A0">
        <w:t>where:</w:t>
      </w:r>
    </w:p>
    <w:p w14:paraId="68FA1801" w14:textId="77777777" w:rsidR="001118A0" w:rsidRPr="001118A0" w:rsidRDefault="001118A0" w:rsidP="004636DE">
      <w:pPr>
        <w:pStyle w:val="Normalsmall"/>
      </w:pPr>
      <w:proofErr w:type="spellStart"/>
      <w:r w:rsidRPr="001118A0">
        <w:t>C</w:t>
      </w:r>
      <w:r w:rsidRPr="001118A0">
        <w:rPr>
          <w:vertAlign w:val="subscript"/>
        </w:rPr>
        <w:t>plant.dry</w:t>
      </w:r>
      <w:proofErr w:type="spellEnd"/>
      <w:r w:rsidRPr="001118A0">
        <w:tab/>
        <w:t>= concentration of PFOS or PFOA in plant on a dry weight basis</w:t>
      </w:r>
    </w:p>
    <w:p w14:paraId="5D77D37A" w14:textId="77777777" w:rsidR="001118A0" w:rsidRPr="001118A0" w:rsidRDefault="001118A0" w:rsidP="004636DE">
      <w:pPr>
        <w:pStyle w:val="Normalsmall"/>
      </w:pPr>
      <w:r w:rsidRPr="001118A0">
        <w:rPr>
          <w:i/>
        </w:rPr>
        <w:t>MC</w:t>
      </w:r>
      <w:r w:rsidRPr="001118A0">
        <w:t xml:space="preserve"> </w:t>
      </w:r>
      <w:r w:rsidRPr="001118A0">
        <w:tab/>
        <w:t>= moisture content of raw plant</w:t>
      </w:r>
    </w:p>
    <w:p w14:paraId="4CFB6668" w14:textId="48241199" w:rsidR="00D001BB" w:rsidRDefault="001118A0" w:rsidP="001118A0">
      <w:pPr>
        <w:pStyle w:val="Heading2"/>
        <w:rPr>
          <w:rFonts w:eastAsiaTheme="minorHAnsi"/>
        </w:rPr>
      </w:pPr>
      <w:bookmarkStart w:id="23" w:name="_Toc112151558"/>
      <w:r>
        <w:rPr>
          <w:rFonts w:eastAsiaTheme="minorHAnsi"/>
        </w:rPr>
        <w:lastRenderedPageBreak/>
        <w:t xml:space="preserve">Summary of TFs for other plant categories </w:t>
      </w:r>
      <w:r w:rsidR="00BD31CA" w:rsidRPr="00BD31CA">
        <w:rPr>
          <w:rFonts w:eastAsiaTheme="minorHAnsi"/>
        </w:rPr>
        <w:t>n</w:t>
      </w:r>
      <w:r w:rsidRPr="00BD31CA">
        <w:rPr>
          <w:rFonts w:eastAsiaTheme="minorHAnsi"/>
        </w:rPr>
        <w:t>ot</w:t>
      </w:r>
      <w:r>
        <w:rPr>
          <w:rFonts w:eastAsiaTheme="minorHAnsi"/>
        </w:rPr>
        <w:t xml:space="preserve"> included in ASC NE</w:t>
      </w:r>
      <w:r w:rsidR="00586CD7">
        <w:rPr>
          <w:rFonts w:eastAsiaTheme="minorHAnsi"/>
        </w:rPr>
        <w:t>PM</w:t>
      </w:r>
      <w:bookmarkEnd w:id="23"/>
    </w:p>
    <w:p w14:paraId="0A59D932" w14:textId="3940218E" w:rsidR="001118A0" w:rsidRPr="0053384E" w:rsidRDefault="001118A0" w:rsidP="001118A0">
      <w:r>
        <w:t xml:space="preserve">As part of the reviews conducted to assess TFs for PFOS, </w:t>
      </w:r>
      <w:proofErr w:type="spellStart"/>
      <w:r>
        <w:t>PFHxS</w:t>
      </w:r>
      <w:proofErr w:type="spellEnd"/>
      <w:r>
        <w:t xml:space="preserve"> and PFOA, information on plant types and plant compartments not relevant to the ASC NEPM categories were also identified from the assessed papers. This section provides a summary of TFs from the literature beyond the ASC NEPM plant categories. Note this is not intended as a systematic comprehensive literature review but is a summary of available literature reviewed in the work undertaken by the NCWG to date. This can be drawn on by practitioners for site assessment and scenario specific purposes</w:t>
      </w:r>
      <w:r w:rsidR="00924DF5">
        <w:t>,</w:t>
      </w:r>
      <w:r>
        <w:t xml:space="preserve"> where relevant. TFs for </w:t>
      </w:r>
      <w:proofErr w:type="spellStart"/>
      <w:r>
        <w:t>PFHxS</w:t>
      </w:r>
      <w:proofErr w:type="spellEnd"/>
      <w:r>
        <w:t xml:space="preserve"> are listed in </w:t>
      </w:r>
      <w:hyperlink w:anchor="_Appendix_A_:" w:history="1">
        <w:r w:rsidRPr="00921EDE">
          <w:rPr>
            <w:rStyle w:val="Hyperlink"/>
          </w:rPr>
          <w:t>Appendix A</w:t>
        </w:r>
      </w:hyperlink>
      <w:r>
        <w:t>.</w:t>
      </w:r>
    </w:p>
    <w:p w14:paraId="0817BC27" w14:textId="6E8CCD18" w:rsidR="001678AD" w:rsidRDefault="001678AD" w:rsidP="001678AD">
      <w:pPr>
        <w:pStyle w:val="Caption"/>
      </w:pPr>
      <w:bookmarkStart w:id="24" w:name="_Toc112679541"/>
      <w:r>
        <w:t xml:space="preserve">Table </w:t>
      </w:r>
      <w:r w:rsidR="008D7C8F">
        <w:fldChar w:fldCharType="begin"/>
      </w:r>
      <w:r w:rsidR="008D7C8F">
        <w:instrText xml:space="preserve"> SEQ Table \* ARABIC </w:instrText>
      </w:r>
      <w:r w:rsidR="008D7C8F">
        <w:fldChar w:fldCharType="separate"/>
      </w:r>
      <w:r w:rsidR="00C96EE9">
        <w:rPr>
          <w:noProof/>
        </w:rPr>
        <w:t>3</w:t>
      </w:r>
      <w:r w:rsidR="008D7C8F">
        <w:rPr>
          <w:noProof/>
        </w:rPr>
        <w:fldChar w:fldCharType="end"/>
      </w:r>
      <w:r>
        <w:t xml:space="preserve"> </w:t>
      </w:r>
      <w:r w:rsidRPr="0077612A">
        <w:t>PFOS soil to plant transfer factors, for plant categories not included in the ASC NEPM calculations, calculated from data in the listed data sources.</w:t>
      </w:r>
      <w:bookmarkEnd w:id="24"/>
      <w:r w:rsidRPr="0077612A">
        <w:t xml:space="preserve"> </w:t>
      </w:r>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S soil to plant transfer factors, for plant categories not included in the ASC NEPM calculations, calculated from data in the listed data sources. It should be noted that these tables are not exhaustive lists of the available literature."/>
        <w:tblDescription w:val="Table showing the PFOS transfer factors for various plant groups., along with the sources from which this data was dervied. Of all the plants shown, carrot calculated using a dry weight basis has the heighest transfer factor."/>
      </w:tblPr>
      <w:tblGrid>
        <w:gridCol w:w="1245"/>
        <w:gridCol w:w="1523"/>
        <w:gridCol w:w="2178"/>
        <w:gridCol w:w="1658"/>
        <w:gridCol w:w="2466"/>
      </w:tblGrid>
      <w:tr w:rsidR="00766B7D" w14:paraId="1A2809D2" w14:textId="77777777" w:rsidTr="004636DE">
        <w:trPr>
          <w:tblHeader/>
        </w:trPr>
        <w:tc>
          <w:tcPr>
            <w:tcW w:w="1276" w:type="dxa"/>
          </w:tcPr>
          <w:p w14:paraId="4FF8E2D7" w14:textId="216F0632" w:rsidR="00766B7D" w:rsidRDefault="001678AD" w:rsidP="001678AD">
            <w:pPr>
              <w:pStyle w:val="TableHeading"/>
            </w:pPr>
            <w:bookmarkStart w:id="25" w:name="_Hlk110608490"/>
            <w:r>
              <w:t>Group</w:t>
            </w:r>
          </w:p>
        </w:tc>
        <w:tc>
          <w:tcPr>
            <w:tcW w:w="1559" w:type="dxa"/>
            <w:tcMar>
              <w:left w:w="108" w:type="dxa"/>
              <w:right w:w="108" w:type="dxa"/>
            </w:tcMar>
          </w:tcPr>
          <w:p w14:paraId="1A23426D" w14:textId="66A0E82D" w:rsidR="00766B7D" w:rsidRDefault="00766B7D" w:rsidP="001678AD">
            <w:pPr>
              <w:pStyle w:val="TableHeading"/>
            </w:pPr>
            <w:r>
              <w:t>Plant</w:t>
            </w:r>
          </w:p>
        </w:tc>
        <w:tc>
          <w:tcPr>
            <w:tcW w:w="1985" w:type="dxa"/>
            <w:tcMar>
              <w:left w:w="108" w:type="dxa"/>
              <w:right w:w="108" w:type="dxa"/>
            </w:tcMar>
          </w:tcPr>
          <w:p w14:paraId="55B81940" w14:textId="7FBA4022" w:rsidR="00766B7D" w:rsidRDefault="00766B7D" w:rsidP="001678AD">
            <w:pPr>
              <w:pStyle w:val="TableHeading"/>
            </w:pPr>
            <w:r>
              <w:t>PFOS TF</w:t>
            </w:r>
          </w:p>
        </w:tc>
        <w:tc>
          <w:tcPr>
            <w:tcW w:w="1701" w:type="dxa"/>
            <w:tcMar>
              <w:left w:w="108" w:type="dxa"/>
              <w:right w:w="108" w:type="dxa"/>
            </w:tcMar>
          </w:tcPr>
          <w:p w14:paraId="12AD9B4C" w14:textId="488ED87C" w:rsidR="00766B7D" w:rsidRDefault="00766B7D" w:rsidP="001678AD">
            <w:pPr>
              <w:pStyle w:val="TableHeading"/>
            </w:pPr>
            <w:proofErr w:type="spellStart"/>
            <w:r>
              <w:t>Claculation</w:t>
            </w:r>
            <w:proofErr w:type="spellEnd"/>
            <w:r>
              <w:t xml:space="preserve"> basis</w:t>
            </w:r>
          </w:p>
        </w:tc>
        <w:tc>
          <w:tcPr>
            <w:tcW w:w="2549" w:type="dxa"/>
            <w:tcMar>
              <w:left w:w="108" w:type="dxa"/>
              <w:right w:w="108" w:type="dxa"/>
            </w:tcMar>
          </w:tcPr>
          <w:p w14:paraId="292B6D6E" w14:textId="0C5823FF" w:rsidR="00766B7D" w:rsidRDefault="00766B7D" w:rsidP="001678AD">
            <w:pPr>
              <w:pStyle w:val="TableHeading"/>
            </w:pPr>
            <w:r>
              <w:t>Data source</w:t>
            </w:r>
          </w:p>
        </w:tc>
      </w:tr>
      <w:tr w:rsidR="00766B7D" w14:paraId="69F49192" w14:textId="77777777" w:rsidTr="004636DE">
        <w:trPr>
          <w:tblHeader/>
        </w:trPr>
        <w:tc>
          <w:tcPr>
            <w:tcW w:w="1276" w:type="dxa"/>
          </w:tcPr>
          <w:p w14:paraId="56818C19" w14:textId="77777777" w:rsidR="00766B7D" w:rsidRDefault="00766B7D" w:rsidP="001678AD">
            <w:pPr>
              <w:pStyle w:val="TableHeading"/>
            </w:pPr>
          </w:p>
        </w:tc>
        <w:tc>
          <w:tcPr>
            <w:tcW w:w="1559" w:type="dxa"/>
            <w:tcMar>
              <w:left w:w="108" w:type="dxa"/>
              <w:right w:w="108" w:type="dxa"/>
            </w:tcMar>
          </w:tcPr>
          <w:p w14:paraId="42E88734" w14:textId="77777777" w:rsidR="00766B7D" w:rsidRDefault="00766B7D" w:rsidP="001678AD">
            <w:pPr>
              <w:pStyle w:val="TableHeading"/>
            </w:pPr>
          </w:p>
        </w:tc>
        <w:tc>
          <w:tcPr>
            <w:tcW w:w="1985" w:type="dxa"/>
            <w:tcMar>
              <w:left w:w="108" w:type="dxa"/>
              <w:right w:w="108" w:type="dxa"/>
            </w:tcMar>
          </w:tcPr>
          <w:p w14:paraId="6D97B3D9" w14:textId="187090D5" w:rsidR="00766B7D" w:rsidRDefault="00766B7D" w:rsidP="001678AD">
            <w:pPr>
              <w:pStyle w:val="TableHeading"/>
            </w:pPr>
            <w:r w:rsidRPr="00034554">
              <w:t>(mg/</w:t>
            </w:r>
            <w:proofErr w:type="spellStart"/>
            <w:r w:rsidRPr="00034554">
              <w:t>kg</w:t>
            </w:r>
            <w:r w:rsidRPr="00034554">
              <w:rPr>
                <w:vertAlign w:val="subscript"/>
              </w:rPr>
              <w:t>plant</w:t>
            </w:r>
            <w:proofErr w:type="spellEnd"/>
            <w:r w:rsidRPr="00034554">
              <w:t>)/(mg/</w:t>
            </w:r>
            <w:proofErr w:type="spellStart"/>
            <w:r w:rsidRPr="00034554">
              <w:t>kg</w:t>
            </w:r>
            <w:r w:rsidRPr="00034554">
              <w:rPr>
                <w:vertAlign w:val="subscript"/>
              </w:rPr>
              <w:t>soil</w:t>
            </w:r>
            <w:proofErr w:type="spellEnd"/>
            <w:r w:rsidRPr="00034554">
              <w:t>)</w:t>
            </w:r>
          </w:p>
        </w:tc>
        <w:tc>
          <w:tcPr>
            <w:tcW w:w="1701" w:type="dxa"/>
            <w:tcMar>
              <w:left w:w="108" w:type="dxa"/>
              <w:right w:w="108" w:type="dxa"/>
            </w:tcMar>
          </w:tcPr>
          <w:p w14:paraId="6FDB837D" w14:textId="56C74667" w:rsidR="00766B7D" w:rsidRPr="001678AD" w:rsidRDefault="00766B7D" w:rsidP="001678AD">
            <w:pPr>
              <w:pStyle w:val="TableHeading"/>
              <w:rPr>
                <w:vertAlign w:val="superscript"/>
              </w:rPr>
            </w:pPr>
            <w:r w:rsidRPr="00034554">
              <w:t>Plant DW or WW</w:t>
            </w:r>
            <w:r w:rsidR="001678AD">
              <w:t xml:space="preserve"> </w:t>
            </w:r>
            <w:r w:rsidR="001678AD">
              <w:rPr>
                <w:vertAlign w:val="superscript"/>
              </w:rPr>
              <w:t>a</w:t>
            </w:r>
          </w:p>
        </w:tc>
        <w:tc>
          <w:tcPr>
            <w:tcW w:w="2549" w:type="dxa"/>
            <w:tcMar>
              <w:left w:w="108" w:type="dxa"/>
              <w:right w:w="108" w:type="dxa"/>
            </w:tcMar>
          </w:tcPr>
          <w:p w14:paraId="535055C2" w14:textId="77777777" w:rsidR="00766B7D" w:rsidRDefault="00766B7D" w:rsidP="001678AD">
            <w:pPr>
              <w:pStyle w:val="TableHeading"/>
            </w:pPr>
          </w:p>
        </w:tc>
      </w:tr>
      <w:tr w:rsidR="00CD1095" w14:paraId="380A7CDC" w14:textId="77777777" w:rsidTr="004636DE">
        <w:tc>
          <w:tcPr>
            <w:tcW w:w="1276" w:type="dxa"/>
            <w:vMerge w:val="restart"/>
          </w:tcPr>
          <w:p w14:paraId="0D0D86A6" w14:textId="3C89F81D" w:rsidR="00CD1095" w:rsidRPr="00DA71B8" w:rsidRDefault="00CD1095" w:rsidP="00CD1095">
            <w:pPr>
              <w:pStyle w:val="TableText0"/>
            </w:pPr>
            <w:r>
              <w:t>Vegetative parts DW</w:t>
            </w:r>
          </w:p>
        </w:tc>
        <w:tc>
          <w:tcPr>
            <w:tcW w:w="1559" w:type="dxa"/>
            <w:tcMar>
              <w:left w:w="108" w:type="dxa"/>
              <w:right w:w="108" w:type="dxa"/>
            </w:tcMar>
          </w:tcPr>
          <w:p w14:paraId="5AF33B1C" w14:textId="2579A8EF" w:rsidR="00CD1095" w:rsidRDefault="00CD1095" w:rsidP="00CD1095">
            <w:pPr>
              <w:pStyle w:val="TableText0"/>
            </w:pPr>
            <w:r w:rsidRPr="00325B0D">
              <w:rPr>
                <w:rFonts w:cstheme="minorHAnsi"/>
                <w:sz w:val="20"/>
                <w:szCs w:val="20"/>
              </w:rPr>
              <w:t>Alfalfa</w:t>
            </w:r>
          </w:p>
        </w:tc>
        <w:tc>
          <w:tcPr>
            <w:tcW w:w="1985" w:type="dxa"/>
            <w:tcMar>
              <w:left w:w="108" w:type="dxa"/>
              <w:right w:w="108" w:type="dxa"/>
            </w:tcMar>
          </w:tcPr>
          <w:p w14:paraId="402F92D7" w14:textId="4860EF2A" w:rsidR="00CD1095" w:rsidRDefault="00CD1095" w:rsidP="00CD1095">
            <w:pPr>
              <w:pStyle w:val="TableText0"/>
            </w:pPr>
            <w:r w:rsidRPr="00325B0D">
              <w:rPr>
                <w:rFonts w:cstheme="minorHAnsi"/>
                <w:sz w:val="20"/>
                <w:szCs w:val="20"/>
              </w:rPr>
              <w:t>0.4</w:t>
            </w:r>
          </w:p>
        </w:tc>
        <w:tc>
          <w:tcPr>
            <w:tcW w:w="1701" w:type="dxa"/>
            <w:tcMar>
              <w:left w:w="108" w:type="dxa"/>
              <w:right w:w="108" w:type="dxa"/>
            </w:tcMar>
          </w:tcPr>
          <w:p w14:paraId="7C210AA2" w14:textId="002B3093"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1AA1E276" w14:textId="722E3201" w:rsidR="00CD1095" w:rsidRDefault="00CD1095" w:rsidP="00CD1095">
            <w:pPr>
              <w:pStyle w:val="TableText0"/>
            </w:pPr>
            <w:r w:rsidRPr="00325B0D">
              <w:rPr>
                <w:rFonts w:cstheme="minorHAnsi"/>
                <w:sz w:val="20"/>
                <w:szCs w:val="20"/>
              </w:rPr>
              <w:t>Wen et al. 2016</w:t>
            </w:r>
          </w:p>
        </w:tc>
      </w:tr>
      <w:tr w:rsidR="00CD1095" w14:paraId="074A0400" w14:textId="77777777" w:rsidTr="004636DE">
        <w:tc>
          <w:tcPr>
            <w:tcW w:w="1276" w:type="dxa"/>
            <w:vMerge/>
          </w:tcPr>
          <w:p w14:paraId="0564D692" w14:textId="77777777" w:rsidR="00CD1095" w:rsidRPr="00DA71B8" w:rsidRDefault="00CD1095" w:rsidP="00CD1095">
            <w:pPr>
              <w:pStyle w:val="TableText0"/>
            </w:pPr>
          </w:p>
        </w:tc>
        <w:tc>
          <w:tcPr>
            <w:tcW w:w="1559" w:type="dxa"/>
            <w:tcMar>
              <w:left w:w="108" w:type="dxa"/>
              <w:right w:w="108" w:type="dxa"/>
            </w:tcMar>
          </w:tcPr>
          <w:p w14:paraId="08885FEE" w14:textId="70D30EF2" w:rsidR="00CD1095" w:rsidRDefault="00CD1095" w:rsidP="00CD1095">
            <w:pPr>
              <w:pStyle w:val="TableText0"/>
            </w:pPr>
            <w:r w:rsidRPr="00325B0D">
              <w:rPr>
                <w:rFonts w:cstheme="minorHAnsi"/>
                <w:sz w:val="20"/>
                <w:szCs w:val="20"/>
              </w:rPr>
              <w:t>Alfalfa</w:t>
            </w:r>
          </w:p>
        </w:tc>
        <w:tc>
          <w:tcPr>
            <w:tcW w:w="1985" w:type="dxa"/>
            <w:tcMar>
              <w:left w:w="108" w:type="dxa"/>
              <w:right w:w="108" w:type="dxa"/>
            </w:tcMar>
          </w:tcPr>
          <w:p w14:paraId="72D4EC79" w14:textId="24CA8645" w:rsidR="00CD1095" w:rsidRDefault="00CD1095" w:rsidP="00CD1095">
            <w:pPr>
              <w:pStyle w:val="TableText0"/>
            </w:pPr>
            <w:r w:rsidRPr="00325B0D">
              <w:rPr>
                <w:rFonts w:cstheme="minorHAnsi"/>
                <w:sz w:val="20"/>
                <w:szCs w:val="20"/>
              </w:rPr>
              <w:t>0.06 – 1.6</w:t>
            </w:r>
          </w:p>
        </w:tc>
        <w:tc>
          <w:tcPr>
            <w:tcW w:w="1701" w:type="dxa"/>
            <w:tcMar>
              <w:left w:w="108" w:type="dxa"/>
              <w:right w:w="108" w:type="dxa"/>
            </w:tcMar>
          </w:tcPr>
          <w:p w14:paraId="6D80D4F1" w14:textId="40F5F245"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02760C7A" w14:textId="071C40F9" w:rsidR="00CD1095" w:rsidRDefault="00CD1095" w:rsidP="00CD1095">
            <w:pPr>
              <w:pStyle w:val="TableText0"/>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r w:rsidR="00CD1095" w14:paraId="16FC4327" w14:textId="77777777" w:rsidTr="004636DE">
        <w:tc>
          <w:tcPr>
            <w:tcW w:w="1276" w:type="dxa"/>
            <w:vMerge/>
          </w:tcPr>
          <w:p w14:paraId="3D8819C4" w14:textId="77777777" w:rsidR="00CD1095" w:rsidRPr="00DA71B8" w:rsidRDefault="00CD1095" w:rsidP="00CD1095">
            <w:pPr>
              <w:pStyle w:val="TableText0"/>
            </w:pPr>
          </w:p>
        </w:tc>
        <w:tc>
          <w:tcPr>
            <w:tcW w:w="1559" w:type="dxa"/>
            <w:tcMar>
              <w:left w:w="108" w:type="dxa"/>
              <w:right w:w="108" w:type="dxa"/>
            </w:tcMar>
          </w:tcPr>
          <w:p w14:paraId="29513CA9" w14:textId="1A4FED15" w:rsidR="00CD1095" w:rsidRDefault="00CD1095" w:rsidP="00CD1095">
            <w:pPr>
              <w:pStyle w:val="TableText0"/>
            </w:pPr>
            <w:r w:rsidRPr="00325B0D">
              <w:rPr>
                <w:rFonts w:cstheme="minorHAnsi"/>
                <w:sz w:val="20"/>
                <w:szCs w:val="20"/>
              </w:rPr>
              <w:t>Alfalfa</w:t>
            </w:r>
          </w:p>
        </w:tc>
        <w:tc>
          <w:tcPr>
            <w:tcW w:w="1985" w:type="dxa"/>
            <w:tcMar>
              <w:left w:w="108" w:type="dxa"/>
              <w:right w:w="108" w:type="dxa"/>
            </w:tcMar>
          </w:tcPr>
          <w:p w14:paraId="2C90EBAC" w14:textId="4BA55ABC" w:rsidR="00CD1095" w:rsidRDefault="00CD1095" w:rsidP="00CD1095">
            <w:pPr>
              <w:pStyle w:val="TableText0"/>
            </w:pPr>
            <w:r w:rsidRPr="00325B0D">
              <w:rPr>
                <w:rFonts w:cstheme="minorHAnsi"/>
                <w:sz w:val="20"/>
                <w:szCs w:val="20"/>
              </w:rPr>
              <w:t>1.4</w:t>
            </w:r>
          </w:p>
        </w:tc>
        <w:tc>
          <w:tcPr>
            <w:tcW w:w="1701" w:type="dxa"/>
            <w:tcMar>
              <w:left w:w="108" w:type="dxa"/>
              <w:right w:w="108" w:type="dxa"/>
            </w:tcMar>
          </w:tcPr>
          <w:p w14:paraId="4EADFBE0" w14:textId="2D1A7449"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03A4AAC7" w14:textId="776659A0" w:rsidR="00CD1095" w:rsidRDefault="00CD1095" w:rsidP="00CD1095">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CD1095" w14:paraId="00A30F93" w14:textId="77777777" w:rsidTr="004636DE">
        <w:tc>
          <w:tcPr>
            <w:tcW w:w="1276" w:type="dxa"/>
            <w:vMerge/>
          </w:tcPr>
          <w:p w14:paraId="66A8E03E" w14:textId="77777777" w:rsidR="00CD1095" w:rsidRPr="00DA71B8" w:rsidRDefault="00CD1095" w:rsidP="00CD1095">
            <w:pPr>
              <w:pStyle w:val="TableText0"/>
            </w:pPr>
          </w:p>
        </w:tc>
        <w:tc>
          <w:tcPr>
            <w:tcW w:w="1559" w:type="dxa"/>
            <w:tcMar>
              <w:left w:w="108" w:type="dxa"/>
              <w:right w:w="108" w:type="dxa"/>
            </w:tcMar>
          </w:tcPr>
          <w:p w14:paraId="77AFA9C0" w14:textId="2B281617" w:rsidR="00CD1095" w:rsidRDefault="00CD1095" w:rsidP="00CD1095">
            <w:pPr>
              <w:pStyle w:val="TableText0"/>
            </w:pPr>
            <w:r w:rsidRPr="00325B0D">
              <w:rPr>
                <w:rFonts w:cstheme="minorHAnsi"/>
                <w:sz w:val="20"/>
                <w:szCs w:val="20"/>
              </w:rPr>
              <w:t>Carrot</w:t>
            </w:r>
          </w:p>
        </w:tc>
        <w:tc>
          <w:tcPr>
            <w:tcW w:w="1985" w:type="dxa"/>
            <w:tcMar>
              <w:left w:w="108" w:type="dxa"/>
              <w:right w:w="108" w:type="dxa"/>
            </w:tcMar>
          </w:tcPr>
          <w:p w14:paraId="291014ED" w14:textId="3F445A3E" w:rsidR="00CD1095" w:rsidRDefault="00CD1095" w:rsidP="00CD1095">
            <w:pPr>
              <w:pStyle w:val="TableText0"/>
            </w:pPr>
            <w:r w:rsidRPr="00325B0D">
              <w:rPr>
                <w:rFonts w:cstheme="minorHAnsi"/>
                <w:sz w:val="20"/>
                <w:szCs w:val="20"/>
              </w:rPr>
              <w:t xml:space="preserve">1.4 </w:t>
            </w:r>
            <w:r w:rsidRPr="00325B0D">
              <w:rPr>
                <w:rFonts w:cs="Arial"/>
                <w:sz w:val="20"/>
                <w:szCs w:val="20"/>
              </w:rPr>
              <w:t>–</w:t>
            </w:r>
            <w:r w:rsidRPr="00325B0D">
              <w:rPr>
                <w:rFonts w:cstheme="minorHAnsi"/>
                <w:sz w:val="20"/>
                <w:szCs w:val="20"/>
              </w:rPr>
              <w:t xml:space="preserve"> 2.1</w:t>
            </w:r>
          </w:p>
        </w:tc>
        <w:tc>
          <w:tcPr>
            <w:tcW w:w="1701" w:type="dxa"/>
            <w:tcMar>
              <w:left w:w="108" w:type="dxa"/>
              <w:right w:w="108" w:type="dxa"/>
            </w:tcMar>
          </w:tcPr>
          <w:p w14:paraId="68FF8A68" w14:textId="046F6167"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2E6DAE78" w14:textId="34366060" w:rsidR="00CD1095" w:rsidRDefault="00CD1095" w:rsidP="00CD1095">
            <w:pPr>
              <w:pStyle w:val="TableText0"/>
            </w:pPr>
            <w:proofErr w:type="spellStart"/>
            <w:r w:rsidRPr="00325B0D">
              <w:rPr>
                <w:rFonts w:cstheme="minorHAnsi"/>
                <w:sz w:val="20"/>
                <w:szCs w:val="20"/>
              </w:rPr>
              <w:t>Bizkarguenaga</w:t>
            </w:r>
            <w:proofErr w:type="spellEnd"/>
            <w:r w:rsidRPr="00325B0D">
              <w:rPr>
                <w:rFonts w:cstheme="minorHAnsi"/>
                <w:sz w:val="20"/>
                <w:szCs w:val="20"/>
              </w:rPr>
              <w:t xml:space="preserve"> et al. 2016</w:t>
            </w:r>
          </w:p>
        </w:tc>
      </w:tr>
      <w:tr w:rsidR="00CD1095" w14:paraId="6389410E" w14:textId="77777777" w:rsidTr="004636DE">
        <w:tc>
          <w:tcPr>
            <w:tcW w:w="1276" w:type="dxa"/>
            <w:vMerge/>
          </w:tcPr>
          <w:p w14:paraId="0A992830" w14:textId="77777777" w:rsidR="00CD1095" w:rsidRPr="00DA71B8" w:rsidRDefault="00CD1095" w:rsidP="00CD1095">
            <w:pPr>
              <w:pStyle w:val="TableText0"/>
            </w:pPr>
          </w:p>
        </w:tc>
        <w:tc>
          <w:tcPr>
            <w:tcW w:w="1559" w:type="dxa"/>
            <w:tcMar>
              <w:left w:w="108" w:type="dxa"/>
              <w:right w:w="108" w:type="dxa"/>
            </w:tcMar>
          </w:tcPr>
          <w:p w14:paraId="30A76C3E" w14:textId="4294C981" w:rsidR="00CD1095" w:rsidRDefault="00CD1095" w:rsidP="00CD1095">
            <w:pPr>
              <w:pStyle w:val="TableText0"/>
            </w:pPr>
            <w:r w:rsidRPr="00325B0D">
              <w:rPr>
                <w:rFonts w:cstheme="minorHAnsi"/>
                <w:sz w:val="20"/>
                <w:szCs w:val="20"/>
              </w:rPr>
              <w:t>Carrot</w:t>
            </w:r>
          </w:p>
        </w:tc>
        <w:tc>
          <w:tcPr>
            <w:tcW w:w="1985" w:type="dxa"/>
            <w:tcMar>
              <w:left w:w="108" w:type="dxa"/>
              <w:right w:w="108" w:type="dxa"/>
            </w:tcMar>
          </w:tcPr>
          <w:p w14:paraId="21F04B59" w14:textId="557B5430" w:rsidR="00CD1095" w:rsidRDefault="00CD1095" w:rsidP="00CD1095">
            <w:pPr>
              <w:pStyle w:val="TableText0"/>
            </w:pPr>
            <w:r w:rsidRPr="00325B0D">
              <w:rPr>
                <w:rFonts w:cstheme="minorHAnsi"/>
                <w:sz w:val="20"/>
                <w:szCs w:val="20"/>
              </w:rPr>
              <w:t>23</w:t>
            </w:r>
          </w:p>
        </w:tc>
        <w:tc>
          <w:tcPr>
            <w:tcW w:w="1701" w:type="dxa"/>
            <w:tcMar>
              <w:left w:w="108" w:type="dxa"/>
              <w:right w:w="108" w:type="dxa"/>
            </w:tcMar>
          </w:tcPr>
          <w:p w14:paraId="1A8755BC" w14:textId="42DA3CF4"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54F0D890" w14:textId="33EC41E8" w:rsidR="00CD1095" w:rsidRDefault="00CD1095" w:rsidP="00CD1095">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CD1095" w14:paraId="2D7C0A69" w14:textId="77777777" w:rsidTr="004636DE">
        <w:tc>
          <w:tcPr>
            <w:tcW w:w="1276" w:type="dxa"/>
            <w:vMerge/>
          </w:tcPr>
          <w:p w14:paraId="2391A701" w14:textId="77777777" w:rsidR="00CD1095" w:rsidRPr="00DA71B8" w:rsidRDefault="00CD1095" w:rsidP="00CD1095">
            <w:pPr>
              <w:pStyle w:val="TableText0"/>
            </w:pPr>
          </w:p>
        </w:tc>
        <w:tc>
          <w:tcPr>
            <w:tcW w:w="1559" w:type="dxa"/>
            <w:tcMar>
              <w:left w:w="108" w:type="dxa"/>
              <w:right w:w="108" w:type="dxa"/>
            </w:tcMar>
          </w:tcPr>
          <w:p w14:paraId="25C0A0F0" w14:textId="3899509D" w:rsidR="00CD1095" w:rsidRDefault="00CD1095" w:rsidP="00CD1095">
            <w:pPr>
              <w:pStyle w:val="TableText0"/>
            </w:pPr>
            <w:r w:rsidRPr="00325B0D">
              <w:rPr>
                <w:rFonts w:cstheme="minorHAnsi"/>
                <w:sz w:val="20"/>
                <w:szCs w:val="20"/>
              </w:rPr>
              <w:t>Cucumber</w:t>
            </w:r>
          </w:p>
        </w:tc>
        <w:tc>
          <w:tcPr>
            <w:tcW w:w="1985" w:type="dxa"/>
            <w:tcMar>
              <w:left w:w="108" w:type="dxa"/>
              <w:right w:w="108" w:type="dxa"/>
            </w:tcMar>
          </w:tcPr>
          <w:p w14:paraId="69EAED47" w14:textId="2AD9384B" w:rsidR="00CD1095" w:rsidRDefault="00CD1095" w:rsidP="00CD1095">
            <w:pPr>
              <w:pStyle w:val="TableText0"/>
            </w:pPr>
            <w:r w:rsidRPr="00325B0D">
              <w:rPr>
                <w:rFonts w:cstheme="minorHAnsi"/>
                <w:sz w:val="20"/>
                <w:szCs w:val="20"/>
              </w:rPr>
              <w:t>0.05 – 0.5</w:t>
            </w:r>
          </w:p>
        </w:tc>
        <w:tc>
          <w:tcPr>
            <w:tcW w:w="1701" w:type="dxa"/>
            <w:tcMar>
              <w:left w:w="108" w:type="dxa"/>
              <w:right w:w="108" w:type="dxa"/>
            </w:tcMar>
          </w:tcPr>
          <w:p w14:paraId="749DB1AE" w14:textId="50B7F552"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60B647D6" w14:textId="28F44FBB" w:rsidR="00CD1095" w:rsidRDefault="00CD1095" w:rsidP="00CD1095">
            <w:pPr>
              <w:pStyle w:val="TableText0"/>
            </w:pPr>
            <w:proofErr w:type="spellStart"/>
            <w:r w:rsidRPr="00325B0D">
              <w:rPr>
                <w:rFonts w:cstheme="minorHAnsi"/>
                <w:sz w:val="20"/>
                <w:szCs w:val="20"/>
              </w:rPr>
              <w:t>Moshfeghi</w:t>
            </w:r>
            <w:proofErr w:type="spellEnd"/>
            <w:r w:rsidRPr="00325B0D">
              <w:rPr>
                <w:rFonts w:cstheme="minorHAnsi"/>
                <w:sz w:val="20"/>
                <w:szCs w:val="20"/>
              </w:rPr>
              <w:t xml:space="preserve"> 2015</w:t>
            </w:r>
          </w:p>
        </w:tc>
      </w:tr>
      <w:tr w:rsidR="00CD1095" w14:paraId="1FD3B0EF" w14:textId="77777777" w:rsidTr="004636DE">
        <w:tc>
          <w:tcPr>
            <w:tcW w:w="1276" w:type="dxa"/>
            <w:vMerge/>
          </w:tcPr>
          <w:p w14:paraId="0AA82D33" w14:textId="77777777" w:rsidR="00CD1095" w:rsidRPr="00DA71B8" w:rsidRDefault="00CD1095" w:rsidP="00CD1095">
            <w:pPr>
              <w:pStyle w:val="TableText0"/>
            </w:pPr>
          </w:p>
        </w:tc>
        <w:tc>
          <w:tcPr>
            <w:tcW w:w="1559" w:type="dxa"/>
            <w:tcMar>
              <w:left w:w="108" w:type="dxa"/>
              <w:right w:w="108" w:type="dxa"/>
            </w:tcMar>
          </w:tcPr>
          <w:p w14:paraId="70DAA2D7" w14:textId="00E68BBE" w:rsidR="00CD1095" w:rsidRDefault="00CD1095" w:rsidP="00CD1095">
            <w:pPr>
              <w:pStyle w:val="TableText0"/>
            </w:pPr>
            <w:r w:rsidRPr="00325B0D">
              <w:rPr>
                <w:rFonts w:cstheme="minorHAnsi"/>
                <w:sz w:val="20"/>
                <w:szCs w:val="20"/>
              </w:rPr>
              <w:t>Flax</w:t>
            </w:r>
          </w:p>
        </w:tc>
        <w:tc>
          <w:tcPr>
            <w:tcW w:w="1985" w:type="dxa"/>
            <w:tcMar>
              <w:left w:w="108" w:type="dxa"/>
              <w:right w:w="108" w:type="dxa"/>
            </w:tcMar>
          </w:tcPr>
          <w:p w14:paraId="0EA5FD7B" w14:textId="36B1C2FB" w:rsidR="00CD1095" w:rsidRDefault="00CD1095" w:rsidP="00CD1095">
            <w:pPr>
              <w:pStyle w:val="TableText0"/>
            </w:pPr>
            <w:r w:rsidRPr="00325B0D">
              <w:rPr>
                <w:rFonts w:cstheme="minorHAnsi"/>
                <w:sz w:val="20"/>
                <w:szCs w:val="20"/>
              </w:rPr>
              <w:t>0.9 – 1.3</w:t>
            </w:r>
          </w:p>
        </w:tc>
        <w:tc>
          <w:tcPr>
            <w:tcW w:w="1701" w:type="dxa"/>
            <w:tcMar>
              <w:left w:w="108" w:type="dxa"/>
              <w:right w:w="108" w:type="dxa"/>
            </w:tcMar>
          </w:tcPr>
          <w:p w14:paraId="10FA1667" w14:textId="65191D7D"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653A222A" w14:textId="3516002E" w:rsidR="00CD1095" w:rsidRDefault="00CD1095" w:rsidP="00CD1095">
            <w:pPr>
              <w:pStyle w:val="TableText0"/>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r w:rsidR="00CD1095" w14:paraId="4E41A6BF" w14:textId="77777777" w:rsidTr="004636DE">
        <w:tc>
          <w:tcPr>
            <w:tcW w:w="1276" w:type="dxa"/>
            <w:vMerge/>
          </w:tcPr>
          <w:p w14:paraId="17377EB8" w14:textId="77777777" w:rsidR="00CD1095" w:rsidRPr="00DA71B8" w:rsidRDefault="00CD1095" w:rsidP="00CD1095">
            <w:pPr>
              <w:pStyle w:val="TableText0"/>
            </w:pPr>
          </w:p>
        </w:tc>
        <w:tc>
          <w:tcPr>
            <w:tcW w:w="1559" w:type="dxa"/>
            <w:tcMar>
              <w:left w:w="108" w:type="dxa"/>
              <w:right w:w="108" w:type="dxa"/>
            </w:tcMar>
          </w:tcPr>
          <w:p w14:paraId="47050DAB" w14:textId="4A4C89F7" w:rsidR="00CD1095" w:rsidRDefault="00CD1095" w:rsidP="00CD1095">
            <w:pPr>
              <w:pStyle w:val="TableText0"/>
            </w:pPr>
            <w:r w:rsidRPr="00325B0D">
              <w:rPr>
                <w:rFonts w:cstheme="minorHAnsi"/>
                <w:sz w:val="20"/>
                <w:szCs w:val="20"/>
              </w:rPr>
              <w:t>Maize</w:t>
            </w:r>
          </w:p>
        </w:tc>
        <w:tc>
          <w:tcPr>
            <w:tcW w:w="1985" w:type="dxa"/>
            <w:tcMar>
              <w:left w:w="108" w:type="dxa"/>
              <w:right w:w="108" w:type="dxa"/>
            </w:tcMar>
          </w:tcPr>
          <w:p w14:paraId="27EA3523" w14:textId="7241C196" w:rsidR="00CD1095" w:rsidRDefault="00CD1095" w:rsidP="00CD1095">
            <w:pPr>
              <w:pStyle w:val="TableText0"/>
            </w:pPr>
            <w:r w:rsidRPr="00325B0D">
              <w:rPr>
                <w:rFonts w:cstheme="minorHAnsi"/>
                <w:sz w:val="20"/>
                <w:szCs w:val="20"/>
              </w:rPr>
              <w:t>0.1 – 0.2</w:t>
            </w:r>
          </w:p>
        </w:tc>
        <w:tc>
          <w:tcPr>
            <w:tcW w:w="1701" w:type="dxa"/>
            <w:tcMar>
              <w:left w:w="108" w:type="dxa"/>
              <w:right w:w="108" w:type="dxa"/>
            </w:tcMar>
          </w:tcPr>
          <w:p w14:paraId="5F053549" w14:textId="79D469F6"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65DA2CD9" w14:textId="32E3922A" w:rsidR="00CD1095" w:rsidRDefault="00CD1095" w:rsidP="00CD1095">
            <w:pPr>
              <w:pStyle w:val="TableText0"/>
            </w:pPr>
            <w:r w:rsidRPr="00325B0D">
              <w:rPr>
                <w:rFonts w:cstheme="minorHAnsi"/>
                <w:sz w:val="20"/>
                <w:szCs w:val="20"/>
              </w:rPr>
              <w:t>Stahl et al. 2009</w:t>
            </w:r>
          </w:p>
        </w:tc>
      </w:tr>
      <w:tr w:rsidR="00CD1095" w14:paraId="3F54A569" w14:textId="77777777" w:rsidTr="004636DE">
        <w:tc>
          <w:tcPr>
            <w:tcW w:w="1276" w:type="dxa"/>
            <w:vMerge/>
          </w:tcPr>
          <w:p w14:paraId="47A6DC5B" w14:textId="77777777" w:rsidR="00CD1095" w:rsidRPr="00DA71B8" w:rsidRDefault="00CD1095" w:rsidP="00CD1095">
            <w:pPr>
              <w:pStyle w:val="TableText0"/>
            </w:pPr>
          </w:p>
        </w:tc>
        <w:tc>
          <w:tcPr>
            <w:tcW w:w="1559" w:type="dxa"/>
            <w:tcMar>
              <w:left w:w="108" w:type="dxa"/>
              <w:right w:w="108" w:type="dxa"/>
            </w:tcMar>
          </w:tcPr>
          <w:p w14:paraId="67606945" w14:textId="2C9353EC" w:rsidR="00CD1095" w:rsidRDefault="00CD1095" w:rsidP="00CD1095">
            <w:pPr>
              <w:pStyle w:val="TableText0"/>
            </w:pPr>
            <w:r w:rsidRPr="00325B0D">
              <w:rPr>
                <w:rFonts w:cstheme="minorHAnsi"/>
                <w:sz w:val="20"/>
                <w:szCs w:val="20"/>
              </w:rPr>
              <w:t>Maize</w:t>
            </w:r>
          </w:p>
        </w:tc>
        <w:tc>
          <w:tcPr>
            <w:tcW w:w="1985" w:type="dxa"/>
            <w:tcMar>
              <w:left w:w="108" w:type="dxa"/>
              <w:right w:w="108" w:type="dxa"/>
            </w:tcMar>
          </w:tcPr>
          <w:p w14:paraId="78B37094" w14:textId="516885BE" w:rsidR="00CD1095" w:rsidRDefault="00CD1095" w:rsidP="00CD1095">
            <w:pPr>
              <w:pStyle w:val="TableText0"/>
            </w:pPr>
            <w:r w:rsidRPr="00325B0D">
              <w:rPr>
                <w:rFonts w:cstheme="minorHAnsi"/>
                <w:sz w:val="20"/>
                <w:szCs w:val="20"/>
              </w:rPr>
              <w:t>0.2</w:t>
            </w:r>
          </w:p>
        </w:tc>
        <w:tc>
          <w:tcPr>
            <w:tcW w:w="1701" w:type="dxa"/>
            <w:tcMar>
              <w:left w:w="108" w:type="dxa"/>
              <w:right w:w="108" w:type="dxa"/>
            </w:tcMar>
          </w:tcPr>
          <w:p w14:paraId="16F2C8EA" w14:textId="6C3C3FD7"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7B128941" w14:textId="281C5212" w:rsidR="00CD1095" w:rsidRDefault="00CD1095" w:rsidP="00CD1095">
            <w:pPr>
              <w:pStyle w:val="TableText0"/>
            </w:pPr>
            <w:r w:rsidRPr="00325B0D">
              <w:rPr>
                <w:rFonts w:cstheme="minorHAnsi"/>
                <w:sz w:val="20"/>
                <w:szCs w:val="20"/>
              </w:rPr>
              <w:t>Wen et al. 2016</w:t>
            </w:r>
          </w:p>
        </w:tc>
      </w:tr>
      <w:tr w:rsidR="00CD1095" w14:paraId="67A7039F" w14:textId="77777777" w:rsidTr="004636DE">
        <w:tc>
          <w:tcPr>
            <w:tcW w:w="1276" w:type="dxa"/>
            <w:vMerge/>
          </w:tcPr>
          <w:p w14:paraId="2D5A7048" w14:textId="77777777" w:rsidR="00CD1095" w:rsidRPr="00DA71B8" w:rsidRDefault="00CD1095" w:rsidP="00CD1095">
            <w:pPr>
              <w:pStyle w:val="TableText0"/>
            </w:pPr>
          </w:p>
        </w:tc>
        <w:tc>
          <w:tcPr>
            <w:tcW w:w="1559" w:type="dxa"/>
            <w:tcMar>
              <w:left w:w="108" w:type="dxa"/>
              <w:right w:w="108" w:type="dxa"/>
            </w:tcMar>
          </w:tcPr>
          <w:p w14:paraId="01924A69" w14:textId="50EB5475" w:rsidR="00CD1095" w:rsidRDefault="00CD1095" w:rsidP="00CD1095">
            <w:pPr>
              <w:pStyle w:val="TableText0"/>
            </w:pPr>
            <w:r w:rsidRPr="00325B0D">
              <w:rPr>
                <w:rFonts w:cstheme="minorHAnsi"/>
                <w:sz w:val="20"/>
                <w:szCs w:val="20"/>
              </w:rPr>
              <w:t>Mung bean</w:t>
            </w:r>
          </w:p>
        </w:tc>
        <w:tc>
          <w:tcPr>
            <w:tcW w:w="1985" w:type="dxa"/>
            <w:tcMar>
              <w:left w:w="108" w:type="dxa"/>
              <w:right w:w="108" w:type="dxa"/>
            </w:tcMar>
          </w:tcPr>
          <w:p w14:paraId="643D3FDC" w14:textId="68B7F84E" w:rsidR="00CD1095" w:rsidRDefault="00CD1095" w:rsidP="00CD1095">
            <w:pPr>
              <w:pStyle w:val="TableText0"/>
            </w:pPr>
            <w:r w:rsidRPr="00325B0D">
              <w:rPr>
                <w:rFonts w:cstheme="minorHAnsi"/>
                <w:sz w:val="20"/>
                <w:szCs w:val="20"/>
              </w:rPr>
              <w:t>0.7</w:t>
            </w:r>
          </w:p>
        </w:tc>
        <w:tc>
          <w:tcPr>
            <w:tcW w:w="1701" w:type="dxa"/>
            <w:tcMar>
              <w:left w:w="108" w:type="dxa"/>
              <w:right w:w="108" w:type="dxa"/>
            </w:tcMar>
          </w:tcPr>
          <w:p w14:paraId="1CC7D116" w14:textId="2B175D9B"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38AD0917" w14:textId="484F61B0" w:rsidR="00CD1095" w:rsidRDefault="00CD1095" w:rsidP="00CD1095">
            <w:pPr>
              <w:pStyle w:val="TableText0"/>
            </w:pPr>
            <w:r w:rsidRPr="00325B0D">
              <w:rPr>
                <w:rFonts w:cstheme="minorHAnsi"/>
                <w:sz w:val="20"/>
                <w:szCs w:val="20"/>
              </w:rPr>
              <w:t>Wen et al. 2016</w:t>
            </w:r>
          </w:p>
        </w:tc>
      </w:tr>
      <w:tr w:rsidR="00CD1095" w14:paraId="40D1FD29" w14:textId="77777777" w:rsidTr="004636DE">
        <w:tc>
          <w:tcPr>
            <w:tcW w:w="1276" w:type="dxa"/>
            <w:vMerge/>
          </w:tcPr>
          <w:p w14:paraId="0D42D670" w14:textId="77777777" w:rsidR="00CD1095" w:rsidRPr="00DA71B8" w:rsidRDefault="00CD1095" w:rsidP="00CD1095">
            <w:pPr>
              <w:pStyle w:val="TableText0"/>
            </w:pPr>
          </w:p>
        </w:tc>
        <w:tc>
          <w:tcPr>
            <w:tcW w:w="1559" w:type="dxa"/>
            <w:tcMar>
              <w:left w:w="108" w:type="dxa"/>
              <w:right w:w="108" w:type="dxa"/>
            </w:tcMar>
          </w:tcPr>
          <w:p w14:paraId="58293AD6" w14:textId="088BDC18" w:rsidR="00CD1095" w:rsidRDefault="00CD1095" w:rsidP="00CD1095">
            <w:pPr>
              <w:pStyle w:val="TableText0"/>
            </w:pPr>
            <w:r w:rsidRPr="00325B0D">
              <w:rPr>
                <w:rFonts w:cstheme="minorHAnsi"/>
                <w:sz w:val="20"/>
                <w:szCs w:val="20"/>
              </w:rPr>
              <w:t>Oats (straw)</w:t>
            </w:r>
          </w:p>
        </w:tc>
        <w:tc>
          <w:tcPr>
            <w:tcW w:w="1985" w:type="dxa"/>
            <w:tcMar>
              <w:left w:w="108" w:type="dxa"/>
              <w:right w:w="108" w:type="dxa"/>
            </w:tcMar>
          </w:tcPr>
          <w:p w14:paraId="40C30DC4" w14:textId="74B7BC86" w:rsidR="00CD1095" w:rsidRDefault="00CD1095" w:rsidP="00CD1095">
            <w:pPr>
              <w:pStyle w:val="TableText0"/>
            </w:pPr>
            <w:r w:rsidRPr="00325B0D">
              <w:rPr>
                <w:rFonts w:cstheme="minorHAnsi"/>
                <w:sz w:val="20"/>
                <w:szCs w:val="20"/>
              </w:rPr>
              <w:t>0.2 – 0.8</w:t>
            </w:r>
          </w:p>
        </w:tc>
        <w:tc>
          <w:tcPr>
            <w:tcW w:w="1701" w:type="dxa"/>
            <w:tcMar>
              <w:left w:w="108" w:type="dxa"/>
              <w:right w:w="108" w:type="dxa"/>
            </w:tcMar>
          </w:tcPr>
          <w:p w14:paraId="15F3F2DF" w14:textId="6E4203F3"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4AB9003F" w14:textId="58C0ECB5" w:rsidR="00CD1095" w:rsidRDefault="00CD1095" w:rsidP="00CD1095">
            <w:pPr>
              <w:pStyle w:val="TableText0"/>
            </w:pPr>
            <w:r w:rsidRPr="00325B0D">
              <w:rPr>
                <w:rFonts w:cstheme="minorHAnsi"/>
                <w:sz w:val="20"/>
                <w:szCs w:val="20"/>
              </w:rPr>
              <w:t>Stahl et al. 2009</w:t>
            </w:r>
          </w:p>
        </w:tc>
      </w:tr>
      <w:tr w:rsidR="00CD1095" w14:paraId="6F50BAB2" w14:textId="77777777" w:rsidTr="004636DE">
        <w:tc>
          <w:tcPr>
            <w:tcW w:w="1276" w:type="dxa"/>
            <w:vMerge/>
          </w:tcPr>
          <w:p w14:paraId="786F30B2" w14:textId="77777777" w:rsidR="00CD1095" w:rsidRPr="00DA71B8" w:rsidRDefault="00CD1095" w:rsidP="00CD1095">
            <w:pPr>
              <w:pStyle w:val="TableText0"/>
            </w:pPr>
          </w:p>
        </w:tc>
        <w:tc>
          <w:tcPr>
            <w:tcW w:w="1559" w:type="dxa"/>
            <w:tcMar>
              <w:left w:w="108" w:type="dxa"/>
              <w:right w:w="108" w:type="dxa"/>
            </w:tcMar>
          </w:tcPr>
          <w:p w14:paraId="5CAC2449" w14:textId="1C9034A6" w:rsidR="00CD1095" w:rsidRPr="00766B7D" w:rsidRDefault="00CD1095" w:rsidP="00CD1095">
            <w:pPr>
              <w:pStyle w:val="TableText0"/>
            </w:pPr>
            <w:r w:rsidRPr="00325B0D">
              <w:rPr>
                <w:rFonts w:cstheme="minorHAnsi"/>
                <w:sz w:val="20"/>
                <w:szCs w:val="20"/>
              </w:rPr>
              <w:t>Onion</w:t>
            </w:r>
          </w:p>
        </w:tc>
        <w:tc>
          <w:tcPr>
            <w:tcW w:w="1985" w:type="dxa"/>
            <w:tcMar>
              <w:left w:w="108" w:type="dxa"/>
              <w:right w:w="108" w:type="dxa"/>
            </w:tcMar>
          </w:tcPr>
          <w:p w14:paraId="52F8E10E" w14:textId="3B9081B5" w:rsidR="00CD1095" w:rsidRPr="00766B7D" w:rsidRDefault="00CD1095" w:rsidP="00CD1095">
            <w:pPr>
              <w:pStyle w:val="TableText0"/>
            </w:pPr>
            <w:r w:rsidRPr="00325B0D">
              <w:rPr>
                <w:rFonts w:cstheme="minorHAnsi"/>
                <w:sz w:val="20"/>
                <w:szCs w:val="20"/>
              </w:rPr>
              <w:t>0.7</w:t>
            </w:r>
          </w:p>
        </w:tc>
        <w:tc>
          <w:tcPr>
            <w:tcW w:w="1701" w:type="dxa"/>
            <w:tcMar>
              <w:left w:w="108" w:type="dxa"/>
              <w:right w:w="108" w:type="dxa"/>
            </w:tcMar>
          </w:tcPr>
          <w:p w14:paraId="30DEBC70" w14:textId="1A349830"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6BEFF32B" w14:textId="35210A8B" w:rsidR="00CD1095" w:rsidRPr="00766B7D" w:rsidRDefault="00CD1095" w:rsidP="00CD1095">
            <w:pPr>
              <w:pStyle w:val="TableText0"/>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r w:rsidR="00CD1095" w14:paraId="5925D79F" w14:textId="77777777" w:rsidTr="004636DE">
        <w:tc>
          <w:tcPr>
            <w:tcW w:w="1276" w:type="dxa"/>
            <w:vMerge/>
          </w:tcPr>
          <w:p w14:paraId="56272015" w14:textId="77777777" w:rsidR="00CD1095" w:rsidRPr="00DA71B8" w:rsidRDefault="00CD1095" w:rsidP="00CD1095">
            <w:pPr>
              <w:pStyle w:val="TableText0"/>
            </w:pPr>
          </w:p>
        </w:tc>
        <w:tc>
          <w:tcPr>
            <w:tcW w:w="1559" w:type="dxa"/>
            <w:tcMar>
              <w:left w:w="108" w:type="dxa"/>
              <w:right w:w="108" w:type="dxa"/>
            </w:tcMar>
          </w:tcPr>
          <w:p w14:paraId="360699C6" w14:textId="04ED6267" w:rsidR="00CD1095" w:rsidRPr="00766B7D" w:rsidRDefault="00CD1095" w:rsidP="00CD1095">
            <w:pPr>
              <w:pStyle w:val="TableText0"/>
            </w:pPr>
            <w:r w:rsidRPr="00325B0D">
              <w:rPr>
                <w:rFonts w:cstheme="minorHAnsi"/>
                <w:sz w:val="20"/>
                <w:szCs w:val="20"/>
              </w:rPr>
              <w:t>Radish</w:t>
            </w:r>
          </w:p>
        </w:tc>
        <w:tc>
          <w:tcPr>
            <w:tcW w:w="1985" w:type="dxa"/>
            <w:tcMar>
              <w:left w:w="108" w:type="dxa"/>
              <w:right w:w="108" w:type="dxa"/>
            </w:tcMar>
          </w:tcPr>
          <w:p w14:paraId="36461A18" w14:textId="61F28F0C" w:rsidR="00CD1095" w:rsidRPr="00766B7D" w:rsidRDefault="00CD1095" w:rsidP="00CD1095">
            <w:pPr>
              <w:pStyle w:val="TableText0"/>
            </w:pPr>
            <w:r w:rsidRPr="00325B0D">
              <w:rPr>
                <w:rFonts w:cstheme="minorHAnsi"/>
                <w:sz w:val="20"/>
                <w:szCs w:val="20"/>
              </w:rPr>
              <w:t>0.5</w:t>
            </w:r>
          </w:p>
        </w:tc>
        <w:tc>
          <w:tcPr>
            <w:tcW w:w="1701" w:type="dxa"/>
            <w:tcMar>
              <w:left w:w="108" w:type="dxa"/>
              <w:right w:w="108" w:type="dxa"/>
            </w:tcMar>
          </w:tcPr>
          <w:p w14:paraId="3A63EA67" w14:textId="4B4BE5F4"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26244989" w14:textId="53C14BFE" w:rsidR="00CD1095" w:rsidRPr="00766B7D" w:rsidRDefault="00CD1095" w:rsidP="00CD1095">
            <w:pPr>
              <w:pStyle w:val="TableText0"/>
            </w:pPr>
            <w:r w:rsidRPr="00325B0D">
              <w:rPr>
                <w:rFonts w:cstheme="minorHAnsi"/>
                <w:sz w:val="20"/>
                <w:szCs w:val="20"/>
              </w:rPr>
              <w:t>Wen et al. 2016</w:t>
            </w:r>
          </w:p>
        </w:tc>
      </w:tr>
      <w:tr w:rsidR="00CD1095" w14:paraId="421C3499" w14:textId="77777777" w:rsidTr="004636DE">
        <w:tc>
          <w:tcPr>
            <w:tcW w:w="1276" w:type="dxa"/>
            <w:vMerge/>
          </w:tcPr>
          <w:p w14:paraId="22BE0E76" w14:textId="77777777" w:rsidR="00CD1095" w:rsidRPr="00DA71B8" w:rsidRDefault="00CD1095" w:rsidP="00CD1095">
            <w:pPr>
              <w:pStyle w:val="TableText0"/>
            </w:pPr>
          </w:p>
        </w:tc>
        <w:tc>
          <w:tcPr>
            <w:tcW w:w="1559" w:type="dxa"/>
            <w:tcMar>
              <w:left w:w="108" w:type="dxa"/>
              <w:right w:w="108" w:type="dxa"/>
            </w:tcMar>
          </w:tcPr>
          <w:p w14:paraId="703D8D78" w14:textId="788E8245" w:rsidR="00CD1095" w:rsidRPr="00766B7D" w:rsidRDefault="00CD1095" w:rsidP="00CD1095">
            <w:pPr>
              <w:pStyle w:val="TableText0"/>
            </w:pPr>
            <w:r w:rsidRPr="00325B0D">
              <w:rPr>
                <w:rFonts w:cstheme="minorHAnsi"/>
                <w:sz w:val="20"/>
                <w:szCs w:val="20"/>
              </w:rPr>
              <w:t>Radish</w:t>
            </w:r>
          </w:p>
        </w:tc>
        <w:tc>
          <w:tcPr>
            <w:tcW w:w="1985" w:type="dxa"/>
            <w:tcMar>
              <w:left w:w="108" w:type="dxa"/>
              <w:right w:w="108" w:type="dxa"/>
            </w:tcMar>
          </w:tcPr>
          <w:p w14:paraId="0469352D" w14:textId="46C40585" w:rsidR="00CD1095" w:rsidRPr="00766B7D" w:rsidRDefault="00CD1095" w:rsidP="00CD1095">
            <w:pPr>
              <w:pStyle w:val="TableText0"/>
            </w:pPr>
            <w:r w:rsidRPr="00325B0D">
              <w:rPr>
                <w:rFonts w:cstheme="minorHAnsi"/>
                <w:sz w:val="20"/>
                <w:szCs w:val="20"/>
              </w:rPr>
              <w:t>10</w:t>
            </w:r>
          </w:p>
        </w:tc>
        <w:tc>
          <w:tcPr>
            <w:tcW w:w="1701" w:type="dxa"/>
            <w:tcMar>
              <w:left w:w="108" w:type="dxa"/>
              <w:right w:w="108" w:type="dxa"/>
            </w:tcMar>
          </w:tcPr>
          <w:p w14:paraId="5329A722" w14:textId="542ADD63"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7FFDAE7F" w14:textId="2E74E377" w:rsidR="00CD1095" w:rsidRPr="00766B7D" w:rsidRDefault="00CD1095" w:rsidP="00CD1095">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CD1095" w14:paraId="40081C6A" w14:textId="77777777" w:rsidTr="004636DE">
        <w:tc>
          <w:tcPr>
            <w:tcW w:w="1276" w:type="dxa"/>
            <w:vMerge/>
          </w:tcPr>
          <w:p w14:paraId="124B7D92" w14:textId="77777777" w:rsidR="00CD1095" w:rsidRPr="00DA71B8" w:rsidRDefault="00CD1095" w:rsidP="00CD1095">
            <w:pPr>
              <w:pStyle w:val="TableText0"/>
            </w:pPr>
          </w:p>
        </w:tc>
        <w:tc>
          <w:tcPr>
            <w:tcW w:w="1559" w:type="dxa"/>
            <w:tcMar>
              <w:left w:w="108" w:type="dxa"/>
              <w:right w:w="108" w:type="dxa"/>
            </w:tcMar>
          </w:tcPr>
          <w:p w14:paraId="751D13B1" w14:textId="24643F89" w:rsidR="00CD1095" w:rsidRPr="00766B7D" w:rsidRDefault="00CD1095" w:rsidP="00CD1095">
            <w:pPr>
              <w:pStyle w:val="TableText0"/>
            </w:pPr>
            <w:r w:rsidRPr="00325B0D">
              <w:rPr>
                <w:rFonts w:cstheme="minorHAnsi"/>
                <w:sz w:val="20"/>
                <w:szCs w:val="20"/>
              </w:rPr>
              <w:t>Ryegrass</w:t>
            </w:r>
          </w:p>
        </w:tc>
        <w:tc>
          <w:tcPr>
            <w:tcW w:w="1985" w:type="dxa"/>
            <w:tcMar>
              <w:left w:w="108" w:type="dxa"/>
              <w:right w:w="108" w:type="dxa"/>
            </w:tcMar>
          </w:tcPr>
          <w:p w14:paraId="77895C57" w14:textId="7B70C510" w:rsidR="00CD1095" w:rsidRPr="00766B7D" w:rsidRDefault="00CD1095" w:rsidP="00CD1095">
            <w:pPr>
              <w:pStyle w:val="TableText0"/>
            </w:pPr>
            <w:r w:rsidRPr="00325B0D">
              <w:rPr>
                <w:rFonts w:cstheme="minorHAnsi"/>
                <w:sz w:val="20"/>
                <w:szCs w:val="20"/>
              </w:rPr>
              <w:t>0.2</w:t>
            </w:r>
          </w:p>
        </w:tc>
        <w:tc>
          <w:tcPr>
            <w:tcW w:w="1701" w:type="dxa"/>
            <w:tcMar>
              <w:left w:w="108" w:type="dxa"/>
              <w:right w:w="108" w:type="dxa"/>
            </w:tcMar>
          </w:tcPr>
          <w:p w14:paraId="6BA87D4C" w14:textId="6146804E"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39DBCB04" w14:textId="053747CF" w:rsidR="00CD1095" w:rsidRPr="00766B7D" w:rsidRDefault="00CD1095" w:rsidP="00CD1095">
            <w:pPr>
              <w:pStyle w:val="TableText0"/>
            </w:pPr>
            <w:r w:rsidRPr="00325B0D">
              <w:rPr>
                <w:rFonts w:cstheme="minorHAnsi"/>
                <w:sz w:val="20"/>
                <w:szCs w:val="20"/>
              </w:rPr>
              <w:t>Wen et al. 2016</w:t>
            </w:r>
          </w:p>
        </w:tc>
      </w:tr>
      <w:tr w:rsidR="00CD1095" w14:paraId="46AD389F" w14:textId="77777777" w:rsidTr="004636DE">
        <w:tc>
          <w:tcPr>
            <w:tcW w:w="1276" w:type="dxa"/>
            <w:vMerge/>
          </w:tcPr>
          <w:p w14:paraId="16C8B479" w14:textId="77777777" w:rsidR="00CD1095" w:rsidRPr="00DA71B8" w:rsidRDefault="00CD1095" w:rsidP="00CD1095">
            <w:pPr>
              <w:pStyle w:val="TableText0"/>
            </w:pPr>
          </w:p>
        </w:tc>
        <w:tc>
          <w:tcPr>
            <w:tcW w:w="1559" w:type="dxa"/>
            <w:tcMar>
              <w:left w:w="108" w:type="dxa"/>
              <w:right w:w="108" w:type="dxa"/>
            </w:tcMar>
          </w:tcPr>
          <w:p w14:paraId="2CC03503" w14:textId="554D567F" w:rsidR="00CD1095" w:rsidRPr="00766B7D" w:rsidRDefault="00CD1095" w:rsidP="00CD1095">
            <w:pPr>
              <w:pStyle w:val="TableText0"/>
            </w:pPr>
            <w:r w:rsidRPr="00325B0D">
              <w:rPr>
                <w:rFonts w:cstheme="minorHAnsi"/>
                <w:sz w:val="20"/>
                <w:szCs w:val="20"/>
              </w:rPr>
              <w:t>Soybean</w:t>
            </w:r>
          </w:p>
        </w:tc>
        <w:tc>
          <w:tcPr>
            <w:tcW w:w="1985" w:type="dxa"/>
            <w:tcMar>
              <w:left w:w="108" w:type="dxa"/>
              <w:right w:w="108" w:type="dxa"/>
            </w:tcMar>
          </w:tcPr>
          <w:p w14:paraId="64BE90A0" w14:textId="6F941245" w:rsidR="00CD1095" w:rsidRPr="00766B7D" w:rsidRDefault="00CD1095" w:rsidP="00CD1095">
            <w:pPr>
              <w:pStyle w:val="TableText0"/>
            </w:pPr>
            <w:r w:rsidRPr="00325B0D">
              <w:rPr>
                <w:rFonts w:cstheme="minorHAnsi"/>
                <w:sz w:val="20"/>
                <w:szCs w:val="20"/>
              </w:rPr>
              <w:t>0.3</w:t>
            </w:r>
          </w:p>
        </w:tc>
        <w:tc>
          <w:tcPr>
            <w:tcW w:w="1701" w:type="dxa"/>
            <w:tcMar>
              <w:left w:w="108" w:type="dxa"/>
              <w:right w:w="108" w:type="dxa"/>
            </w:tcMar>
          </w:tcPr>
          <w:p w14:paraId="7DBF3079" w14:textId="44444306"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2AB396CE" w14:textId="74121E34" w:rsidR="00CD1095" w:rsidRPr="00766B7D" w:rsidRDefault="00CD1095" w:rsidP="00CD1095">
            <w:pPr>
              <w:pStyle w:val="TableText0"/>
            </w:pPr>
            <w:r w:rsidRPr="00325B0D">
              <w:rPr>
                <w:rFonts w:cstheme="minorHAnsi"/>
                <w:sz w:val="20"/>
                <w:szCs w:val="20"/>
              </w:rPr>
              <w:t>Wen et al. 2016</w:t>
            </w:r>
          </w:p>
        </w:tc>
      </w:tr>
      <w:tr w:rsidR="00CD1095" w14:paraId="374F6967" w14:textId="77777777" w:rsidTr="004636DE">
        <w:tc>
          <w:tcPr>
            <w:tcW w:w="1276" w:type="dxa"/>
            <w:vMerge/>
          </w:tcPr>
          <w:p w14:paraId="1672C35D" w14:textId="77777777" w:rsidR="00CD1095" w:rsidRPr="00DA71B8" w:rsidRDefault="00CD1095" w:rsidP="00CD1095">
            <w:pPr>
              <w:pStyle w:val="TableText0"/>
            </w:pPr>
          </w:p>
        </w:tc>
        <w:tc>
          <w:tcPr>
            <w:tcW w:w="1559" w:type="dxa"/>
            <w:tcMar>
              <w:left w:w="108" w:type="dxa"/>
              <w:right w:w="108" w:type="dxa"/>
            </w:tcMar>
          </w:tcPr>
          <w:p w14:paraId="4BBD73F7" w14:textId="6A6DAAEB" w:rsidR="00CD1095" w:rsidRPr="00766B7D" w:rsidRDefault="00CD1095" w:rsidP="00CD1095">
            <w:pPr>
              <w:pStyle w:val="TableText0"/>
            </w:pPr>
            <w:r w:rsidRPr="00325B0D">
              <w:rPr>
                <w:rFonts w:cstheme="minorHAnsi"/>
                <w:sz w:val="20"/>
                <w:szCs w:val="20"/>
              </w:rPr>
              <w:t>Soybean</w:t>
            </w:r>
          </w:p>
        </w:tc>
        <w:tc>
          <w:tcPr>
            <w:tcW w:w="1985" w:type="dxa"/>
            <w:tcMar>
              <w:left w:w="108" w:type="dxa"/>
              <w:right w:w="108" w:type="dxa"/>
            </w:tcMar>
          </w:tcPr>
          <w:p w14:paraId="3E16B8E0" w14:textId="7BE40252" w:rsidR="00CD1095" w:rsidRPr="00766B7D" w:rsidRDefault="00CD1095" w:rsidP="00CD1095">
            <w:pPr>
              <w:pStyle w:val="TableText0"/>
            </w:pPr>
            <w:r w:rsidRPr="00325B0D">
              <w:rPr>
                <w:rFonts w:cstheme="minorHAnsi"/>
                <w:sz w:val="20"/>
                <w:szCs w:val="20"/>
              </w:rPr>
              <w:t>0.4 – 4.1</w:t>
            </w:r>
          </w:p>
        </w:tc>
        <w:tc>
          <w:tcPr>
            <w:tcW w:w="1701" w:type="dxa"/>
            <w:tcMar>
              <w:left w:w="108" w:type="dxa"/>
              <w:right w:w="108" w:type="dxa"/>
            </w:tcMar>
          </w:tcPr>
          <w:p w14:paraId="08BF43AB" w14:textId="4A3161A1"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2C93A5E1" w14:textId="0876A9A8" w:rsidR="00CD1095" w:rsidRPr="00766B7D" w:rsidRDefault="00CD1095" w:rsidP="00CD1095">
            <w:pPr>
              <w:pStyle w:val="TableText0"/>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r w:rsidR="00CD1095" w14:paraId="568C33E6" w14:textId="77777777" w:rsidTr="004636DE">
        <w:tc>
          <w:tcPr>
            <w:tcW w:w="1276" w:type="dxa"/>
            <w:vMerge/>
          </w:tcPr>
          <w:p w14:paraId="6BA32500" w14:textId="77777777" w:rsidR="00CD1095" w:rsidRPr="00DA71B8" w:rsidRDefault="00CD1095" w:rsidP="00CD1095">
            <w:pPr>
              <w:pStyle w:val="TableText0"/>
            </w:pPr>
          </w:p>
        </w:tc>
        <w:tc>
          <w:tcPr>
            <w:tcW w:w="1559" w:type="dxa"/>
            <w:tcMar>
              <w:left w:w="108" w:type="dxa"/>
              <w:right w:w="108" w:type="dxa"/>
            </w:tcMar>
          </w:tcPr>
          <w:p w14:paraId="6CCF70C0" w14:textId="7023461A" w:rsidR="00CD1095" w:rsidRPr="00766B7D" w:rsidRDefault="00CD1095" w:rsidP="00CD1095">
            <w:pPr>
              <w:pStyle w:val="TableText0"/>
            </w:pPr>
            <w:r w:rsidRPr="00325B0D">
              <w:rPr>
                <w:rFonts w:cstheme="minorHAnsi"/>
                <w:sz w:val="20"/>
                <w:szCs w:val="20"/>
              </w:rPr>
              <w:t>Tomato</w:t>
            </w:r>
          </w:p>
        </w:tc>
        <w:tc>
          <w:tcPr>
            <w:tcW w:w="1985" w:type="dxa"/>
            <w:tcMar>
              <w:left w:w="108" w:type="dxa"/>
              <w:right w:w="108" w:type="dxa"/>
            </w:tcMar>
          </w:tcPr>
          <w:p w14:paraId="6D256A69" w14:textId="3E2ECC86" w:rsidR="00CD1095" w:rsidRPr="00766B7D" w:rsidRDefault="00CD1095" w:rsidP="00CD1095">
            <w:pPr>
              <w:pStyle w:val="TableText0"/>
            </w:pPr>
            <w:r w:rsidRPr="00325B0D">
              <w:rPr>
                <w:rFonts w:cstheme="minorHAnsi"/>
                <w:sz w:val="20"/>
                <w:szCs w:val="20"/>
              </w:rPr>
              <w:t xml:space="preserve">0.8 </w:t>
            </w:r>
            <w:r w:rsidRPr="00325B0D">
              <w:rPr>
                <w:rFonts w:cs="Arial"/>
                <w:sz w:val="20"/>
                <w:szCs w:val="20"/>
              </w:rPr>
              <w:t>–</w:t>
            </w:r>
            <w:r w:rsidRPr="00325B0D">
              <w:rPr>
                <w:rFonts w:cstheme="minorHAnsi"/>
                <w:sz w:val="20"/>
                <w:szCs w:val="20"/>
              </w:rPr>
              <w:t xml:space="preserve"> 2.2</w:t>
            </w:r>
          </w:p>
        </w:tc>
        <w:tc>
          <w:tcPr>
            <w:tcW w:w="1701" w:type="dxa"/>
            <w:tcMar>
              <w:left w:w="108" w:type="dxa"/>
              <w:right w:w="108" w:type="dxa"/>
            </w:tcMar>
          </w:tcPr>
          <w:p w14:paraId="4F70374E" w14:textId="6C554708"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1F067A3D" w14:textId="03712072" w:rsidR="00CD1095" w:rsidRPr="00766B7D" w:rsidRDefault="00CD1095" w:rsidP="00CD1095">
            <w:pPr>
              <w:pStyle w:val="TableText0"/>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r w:rsidR="00CD1095" w14:paraId="3E228560" w14:textId="77777777" w:rsidTr="004636DE">
        <w:tc>
          <w:tcPr>
            <w:tcW w:w="1276" w:type="dxa"/>
            <w:vMerge/>
          </w:tcPr>
          <w:p w14:paraId="65215E52" w14:textId="77777777" w:rsidR="00CD1095" w:rsidRPr="00DA71B8" w:rsidRDefault="00CD1095" w:rsidP="00CD1095">
            <w:pPr>
              <w:pStyle w:val="TableText0"/>
            </w:pPr>
          </w:p>
        </w:tc>
        <w:tc>
          <w:tcPr>
            <w:tcW w:w="1559" w:type="dxa"/>
            <w:tcMar>
              <w:left w:w="108" w:type="dxa"/>
              <w:right w:w="108" w:type="dxa"/>
            </w:tcMar>
          </w:tcPr>
          <w:p w14:paraId="4C2C6F3E" w14:textId="76B30090" w:rsidR="00CD1095" w:rsidRPr="00766B7D" w:rsidRDefault="00CD1095" w:rsidP="00CD1095">
            <w:pPr>
              <w:pStyle w:val="TableText0"/>
            </w:pPr>
            <w:r w:rsidRPr="00325B0D">
              <w:rPr>
                <w:rFonts w:cstheme="minorHAnsi"/>
                <w:sz w:val="20"/>
                <w:szCs w:val="20"/>
              </w:rPr>
              <w:t>Wheat</w:t>
            </w:r>
          </w:p>
        </w:tc>
        <w:tc>
          <w:tcPr>
            <w:tcW w:w="1985" w:type="dxa"/>
            <w:tcMar>
              <w:left w:w="108" w:type="dxa"/>
              <w:right w:w="108" w:type="dxa"/>
            </w:tcMar>
          </w:tcPr>
          <w:p w14:paraId="5FB4763D" w14:textId="6E2B6C0D" w:rsidR="00CD1095" w:rsidRPr="00766B7D" w:rsidRDefault="00CD1095" w:rsidP="00CD1095">
            <w:pPr>
              <w:pStyle w:val="TableText0"/>
            </w:pPr>
            <w:r w:rsidRPr="00325B0D">
              <w:rPr>
                <w:rFonts w:cstheme="minorHAnsi"/>
                <w:sz w:val="20"/>
                <w:szCs w:val="20"/>
              </w:rPr>
              <w:t>0.2 – 1.5</w:t>
            </w:r>
          </w:p>
        </w:tc>
        <w:tc>
          <w:tcPr>
            <w:tcW w:w="1701" w:type="dxa"/>
            <w:tcMar>
              <w:left w:w="108" w:type="dxa"/>
              <w:right w:w="108" w:type="dxa"/>
            </w:tcMar>
          </w:tcPr>
          <w:p w14:paraId="2928DE66" w14:textId="47CBC989" w:rsidR="00CD1095" w:rsidRPr="00766B7D" w:rsidRDefault="00CD1095" w:rsidP="00CD1095">
            <w:pPr>
              <w:pStyle w:val="TableText0"/>
            </w:pPr>
            <w:r w:rsidRPr="00325B0D">
              <w:rPr>
                <w:rFonts w:cstheme="minorHAnsi"/>
                <w:sz w:val="20"/>
                <w:szCs w:val="20"/>
              </w:rPr>
              <w:t>DW</w:t>
            </w:r>
          </w:p>
        </w:tc>
        <w:tc>
          <w:tcPr>
            <w:tcW w:w="2549" w:type="dxa"/>
            <w:tcMar>
              <w:left w:w="108" w:type="dxa"/>
              <w:right w:w="108" w:type="dxa"/>
            </w:tcMar>
          </w:tcPr>
          <w:p w14:paraId="1FE8B989" w14:textId="33C86394" w:rsidR="00CD1095" w:rsidRPr="00766B7D" w:rsidRDefault="00CD1095" w:rsidP="00CD1095">
            <w:pPr>
              <w:pStyle w:val="TableText0"/>
            </w:pPr>
            <w:r w:rsidRPr="00325B0D">
              <w:rPr>
                <w:rFonts w:cstheme="minorHAnsi"/>
                <w:sz w:val="20"/>
                <w:szCs w:val="20"/>
              </w:rPr>
              <w:t>Stahl et al. 2009</w:t>
            </w:r>
          </w:p>
        </w:tc>
      </w:tr>
      <w:tr w:rsidR="00CD1095" w14:paraId="580BA0A9" w14:textId="77777777" w:rsidTr="004636DE">
        <w:tc>
          <w:tcPr>
            <w:tcW w:w="1276" w:type="dxa"/>
            <w:vMerge/>
          </w:tcPr>
          <w:p w14:paraId="2E86ADBD" w14:textId="77777777" w:rsidR="00CD1095" w:rsidRPr="00DA71B8" w:rsidRDefault="00CD1095" w:rsidP="00CD1095">
            <w:pPr>
              <w:pStyle w:val="TableText0"/>
            </w:pPr>
          </w:p>
        </w:tc>
        <w:tc>
          <w:tcPr>
            <w:tcW w:w="1559" w:type="dxa"/>
            <w:tcMar>
              <w:left w:w="108" w:type="dxa"/>
              <w:right w:w="108" w:type="dxa"/>
            </w:tcMar>
          </w:tcPr>
          <w:p w14:paraId="7FC3F04A" w14:textId="1E772773" w:rsidR="00CD1095" w:rsidRDefault="00CD1095" w:rsidP="00CD1095">
            <w:pPr>
              <w:pStyle w:val="TableText0"/>
            </w:pPr>
            <w:r w:rsidRPr="00325B0D">
              <w:rPr>
                <w:rFonts w:cstheme="minorHAnsi"/>
                <w:sz w:val="20"/>
                <w:szCs w:val="20"/>
              </w:rPr>
              <w:t>Wheat (straw)</w:t>
            </w:r>
          </w:p>
        </w:tc>
        <w:tc>
          <w:tcPr>
            <w:tcW w:w="1985" w:type="dxa"/>
            <w:tcMar>
              <w:left w:w="108" w:type="dxa"/>
              <w:right w:w="108" w:type="dxa"/>
            </w:tcMar>
          </w:tcPr>
          <w:p w14:paraId="1AE655C6" w14:textId="67804AF7" w:rsidR="00CD1095" w:rsidRDefault="00CD1095" w:rsidP="00CD1095">
            <w:pPr>
              <w:pStyle w:val="TableText0"/>
            </w:pPr>
            <w:r w:rsidRPr="00325B0D">
              <w:rPr>
                <w:rFonts w:cstheme="minorHAnsi"/>
                <w:sz w:val="20"/>
                <w:szCs w:val="20"/>
              </w:rPr>
              <w:t>0.2 – 0.3</w:t>
            </w:r>
          </w:p>
        </w:tc>
        <w:tc>
          <w:tcPr>
            <w:tcW w:w="1701" w:type="dxa"/>
            <w:tcMar>
              <w:left w:w="108" w:type="dxa"/>
              <w:right w:w="108" w:type="dxa"/>
            </w:tcMar>
          </w:tcPr>
          <w:p w14:paraId="11754F65" w14:textId="186C1C09"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5C738D96" w14:textId="670CC3E2" w:rsidR="00CD1095" w:rsidRDefault="00CD1095" w:rsidP="00CD1095">
            <w:pPr>
              <w:pStyle w:val="TableText0"/>
            </w:pPr>
            <w:r w:rsidRPr="00325B0D">
              <w:rPr>
                <w:rFonts w:cstheme="minorHAnsi"/>
                <w:sz w:val="20"/>
                <w:szCs w:val="20"/>
              </w:rPr>
              <w:t>Wen et al. 2014</w:t>
            </w:r>
          </w:p>
        </w:tc>
      </w:tr>
      <w:tr w:rsidR="00CD1095" w14:paraId="1CD58ADD" w14:textId="77777777" w:rsidTr="004636DE">
        <w:tc>
          <w:tcPr>
            <w:tcW w:w="1276" w:type="dxa"/>
            <w:vMerge/>
          </w:tcPr>
          <w:p w14:paraId="5BDB8D65" w14:textId="77777777" w:rsidR="00CD1095" w:rsidRPr="00DA71B8" w:rsidRDefault="00CD1095" w:rsidP="00CD1095">
            <w:pPr>
              <w:pStyle w:val="TableText0"/>
            </w:pPr>
          </w:p>
        </w:tc>
        <w:tc>
          <w:tcPr>
            <w:tcW w:w="1559" w:type="dxa"/>
            <w:tcMar>
              <w:left w:w="108" w:type="dxa"/>
              <w:right w:w="108" w:type="dxa"/>
            </w:tcMar>
          </w:tcPr>
          <w:p w14:paraId="10CC469E" w14:textId="40491771" w:rsidR="00CD1095" w:rsidRDefault="00CD1095" w:rsidP="00CD1095">
            <w:pPr>
              <w:pStyle w:val="TableText0"/>
            </w:pPr>
            <w:r w:rsidRPr="00325B0D">
              <w:rPr>
                <w:rFonts w:cstheme="minorHAnsi"/>
                <w:sz w:val="20"/>
                <w:szCs w:val="20"/>
              </w:rPr>
              <w:t>Wheat</w:t>
            </w:r>
          </w:p>
        </w:tc>
        <w:tc>
          <w:tcPr>
            <w:tcW w:w="1985" w:type="dxa"/>
            <w:tcMar>
              <w:left w:w="108" w:type="dxa"/>
              <w:right w:w="108" w:type="dxa"/>
            </w:tcMar>
          </w:tcPr>
          <w:p w14:paraId="07BDD698" w14:textId="78D53615" w:rsidR="00CD1095" w:rsidRDefault="00CD1095" w:rsidP="00CD1095">
            <w:pPr>
              <w:pStyle w:val="TableText0"/>
            </w:pPr>
            <w:r w:rsidRPr="00325B0D">
              <w:rPr>
                <w:rFonts w:cstheme="minorHAnsi"/>
                <w:sz w:val="20"/>
                <w:szCs w:val="20"/>
              </w:rPr>
              <w:t>0.1 – 0.5</w:t>
            </w:r>
          </w:p>
        </w:tc>
        <w:tc>
          <w:tcPr>
            <w:tcW w:w="1701" w:type="dxa"/>
            <w:tcMar>
              <w:left w:w="108" w:type="dxa"/>
              <w:right w:w="108" w:type="dxa"/>
            </w:tcMar>
          </w:tcPr>
          <w:p w14:paraId="18DE4BBB" w14:textId="6896CB12" w:rsidR="00CD1095" w:rsidRDefault="00CD1095" w:rsidP="00CD1095">
            <w:pPr>
              <w:pStyle w:val="TableText0"/>
            </w:pPr>
            <w:r w:rsidRPr="00325B0D">
              <w:rPr>
                <w:rFonts w:cstheme="minorHAnsi"/>
                <w:sz w:val="20"/>
                <w:szCs w:val="20"/>
              </w:rPr>
              <w:t>DW</w:t>
            </w:r>
          </w:p>
        </w:tc>
        <w:tc>
          <w:tcPr>
            <w:tcW w:w="2549" w:type="dxa"/>
            <w:tcMar>
              <w:left w:w="108" w:type="dxa"/>
              <w:right w:w="108" w:type="dxa"/>
            </w:tcMar>
          </w:tcPr>
          <w:p w14:paraId="230BF57D" w14:textId="298ACED9" w:rsidR="00CD1095" w:rsidRDefault="00CD1095" w:rsidP="00CD1095">
            <w:pPr>
              <w:pStyle w:val="TableText0"/>
            </w:pPr>
            <w:r w:rsidRPr="00325B0D">
              <w:rPr>
                <w:rFonts w:cstheme="minorHAnsi"/>
                <w:sz w:val="20"/>
                <w:szCs w:val="20"/>
              </w:rPr>
              <w:t>Zhao et al. 2014</w:t>
            </w:r>
          </w:p>
        </w:tc>
      </w:tr>
      <w:tr w:rsidR="00766B7D" w14:paraId="7D9CA390" w14:textId="77777777" w:rsidTr="004636DE">
        <w:tc>
          <w:tcPr>
            <w:tcW w:w="1276" w:type="dxa"/>
            <w:vMerge w:val="restart"/>
          </w:tcPr>
          <w:p w14:paraId="52E9EB67" w14:textId="6735AD41" w:rsidR="00766B7D" w:rsidRPr="00DA71B8" w:rsidRDefault="00766B7D" w:rsidP="001678AD">
            <w:pPr>
              <w:pStyle w:val="TableText0"/>
            </w:pPr>
            <w:r>
              <w:lastRenderedPageBreak/>
              <w:t>Vegetative parts WW</w:t>
            </w:r>
          </w:p>
        </w:tc>
        <w:tc>
          <w:tcPr>
            <w:tcW w:w="1559" w:type="dxa"/>
            <w:tcMar>
              <w:left w:w="108" w:type="dxa"/>
              <w:right w:w="108" w:type="dxa"/>
            </w:tcMar>
          </w:tcPr>
          <w:p w14:paraId="72F8C2A1" w14:textId="32C20E65" w:rsidR="00766B7D" w:rsidRDefault="00766B7D" w:rsidP="001678AD">
            <w:pPr>
              <w:pStyle w:val="TableText0"/>
            </w:pPr>
            <w:r w:rsidRPr="00325B0D">
              <w:rPr>
                <w:rFonts w:cstheme="minorHAnsi"/>
                <w:sz w:val="20"/>
                <w:szCs w:val="20"/>
              </w:rPr>
              <w:t>Carrot</w:t>
            </w:r>
          </w:p>
        </w:tc>
        <w:tc>
          <w:tcPr>
            <w:tcW w:w="1985" w:type="dxa"/>
            <w:tcMar>
              <w:left w:w="108" w:type="dxa"/>
              <w:right w:w="108" w:type="dxa"/>
            </w:tcMar>
          </w:tcPr>
          <w:p w14:paraId="4C4F9020" w14:textId="295BC021" w:rsidR="00766B7D" w:rsidRDefault="00766B7D" w:rsidP="001678AD">
            <w:pPr>
              <w:pStyle w:val="TableText0"/>
            </w:pPr>
            <w:r w:rsidRPr="00325B0D">
              <w:rPr>
                <w:rFonts w:cstheme="minorHAnsi"/>
                <w:sz w:val="20"/>
                <w:szCs w:val="20"/>
              </w:rPr>
              <w:t>0.3 – 0.4</w:t>
            </w:r>
          </w:p>
        </w:tc>
        <w:tc>
          <w:tcPr>
            <w:tcW w:w="1701" w:type="dxa"/>
            <w:tcMar>
              <w:left w:w="108" w:type="dxa"/>
              <w:right w:w="108" w:type="dxa"/>
            </w:tcMar>
          </w:tcPr>
          <w:p w14:paraId="2358FC5C" w14:textId="0561F150" w:rsidR="00766B7D" w:rsidRDefault="00766B7D" w:rsidP="001678AD">
            <w:pPr>
              <w:pStyle w:val="TableText0"/>
            </w:pPr>
            <w:r w:rsidRPr="00325B0D">
              <w:rPr>
                <w:rFonts w:cstheme="minorHAnsi"/>
                <w:sz w:val="20"/>
                <w:szCs w:val="20"/>
              </w:rPr>
              <w:t>WW</w:t>
            </w:r>
          </w:p>
        </w:tc>
        <w:tc>
          <w:tcPr>
            <w:tcW w:w="2549" w:type="dxa"/>
            <w:tcMar>
              <w:left w:w="108" w:type="dxa"/>
              <w:right w:w="108" w:type="dxa"/>
            </w:tcMar>
          </w:tcPr>
          <w:p w14:paraId="27D61C02" w14:textId="723B2943" w:rsidR="00766B7D" w:rsidRDefault="00766B7D" w:rsidP="001678AD">
            <w:pPr>
              <w:pStyle w:val="TableText0"/>
            </w:pPr>
            <w:r w:rsidRPr="00325B0D">
              <w:rPr>
                <w:rFonts w:cstheme="minorHAnsi"/>
                <w:sz w:val="20"/>
                <w:szCs w:val="20"/>
              </w:rPr>
              <w:t>Lechner &amp; Knapp 2011</w:t>
            </w:r>
          </w:p>
        </w:tc>
      </w:tr>
      <w:tr w:rsidR="00766B7D" w14:paraId="238ECFFD" w14:textId="77777777" w:rsidTr="004636DE">
        <w:tc>
          <w:tcPr>
            <w:tcW w:w="1276" w:type="dxa"/>
            <w:vMerge/>
          </w:tcPr>
          <w:p w14:paraId="7D3BBF13" w14:textId="77777777" w:rsidR="00766B7D" w:rsidRPr="00DA71B8" w:rsidRDefault="00766B7D" w:rsidP="001678AD">
            <w:pPr>
              <w:pStyle w:val="TableText0"/>
            </w:pPr>
          </w:p>
        </w:tc>
        <w:tc>
          <w:tcPr>
            <w:tcW w:w="1559" w:type="dxa"/>
            <w:tcMar>
              <w:left w:w="108" w:type="dxa"/>
              <w:right w:w="108" w:type="dxa"/>
            </w:tcMar>
          </w:tcPr>
          <w:p w14:paraId="781E2E2A" w14:textId="526C9C8D" w:rsidR="00766B7D" w:rsidRDefault="00766B7D" w:rsidP="001678AD">
            <w:pPr>
              <w:pStyle w:val="TableText0"/>
            </w:pPr>
            <w:r w:rsidRPr="00325B0D">
              <w:rPr>
                <w:rFonts w:cstheme="minorHAnsi"/>
                <w:sz w:val="20"/>
                <w:szCs w:val="20"/>
              </w:rPr>
              <w:t>Cucumber</w:t>
            </w:r>
          </w:p>
        </w:tc>
        <w:tc>
          <w:tcPr>
            <w:tcW w:w="1985" w:type="dxa"/>
            <w:tcMar>
              <w:left w:w="108" w:type="dxa"/>
              <w:right w:w="108" w:type="dxa"/>
            </w:tcMar>
          </w:tcPr>
          <w:p w14:paraId="38DE019C" w14:textId="4C528007" w:rsidR="00766B7D" w:rsidRDefault="00766B7D" w:rsidP="001678AD">
            <w:pPr>
              <w:pStyle w:val="TableText0"/>
            </w:pPr>
            <w:r w:rsidRPr="00325B0D">
              <w:rPr>
                <w:rFonts w:cstheme="minorHAnsi"/>
                <w:sz w:val="20"/>
                <w:szCs w:val="20"/>
              </w:rPr>
              <w:t>0.1 – 0.2</w:t>
            </w:r>
          </w:p>
        </w:tc>
        <w:tc>
          <w:tcPr>
            <w:tcW w:w="1701" w:type="dxa"/>
            <w:tcMar>
              <w:left w:w="108" w:type="dxa"/>
              <w:right w:w="108" w:type="dxa"/>
            </w:tcMar>
          </w:tcPr>
          <w:p w14:paraId="37F09D5B" w14:textId="5444F2C4" w:rsidR="00766B7D" w:rsidRDefault="00766B7D" w:rsidP="001678AD">
            <w:pPr>
              <w:pStyle w:val="TableText0"/>
            </w:pPr>
            <w:r w:rsidRPr="00325B0D">
              <w:rPr>
                <w:rFonts w:cstheme="minorHAnsi"/>
                <w:sz w:val="20"/>
                <w:szCs w:val="20"/>
              </w:rPr>
              <w:t>WW</w:t>
            </w:r>
          </w:p>
        </w:tc>
        <w:tc>
          <w:tcPr>
            <w:tcW w:w="2549" w:type="dxa"/>
            <w:tcMar>
              <w:left w:w="108" w:type="dxa"/>
              <w:right w:w="108" w:type="dxa"/>
            </w:tcMar>
          </w:tcPr>
          <w:p w14:paraId="24D1842D" w14:textId="5C03560A" w:rsidR="00766B7D" w:rsidRDefault="00766B7D" w:rsidP="001678AD">
            <w:pPr>
              <w:pStyle w:val="TableText0"/>
            </w:pPr>
            <w:r w:rsidRPr="00325B0D">
              <w:rPr>
                <w:rFonts w:cstheme="minorHAnsi"/>
                <w:sz w:val="20"/>
                <w:szCs w:val="20"/>
              </w:rPr>
              <w:t>Lechner &amp; Knapp 2011</w:t>
            </w:r>
          </w:p>
        </w:tc>
      </w:tr>
      <w:tr w:rsidR="00766B7D" w14:paraId="5D45C37E" w14:textId="77777777" w:rsidTr="004636DE">
        <w:tc>
          <w:tcPr>
            <w:tcW w:w="1276" w:type="dxa"/>
            <w:vMerge/>
          </w:tcPr>
          <w:p w14:paraId="38CDD016" w14:textId="77777777" w:rsidR="00766B7D" w:rsidRPr="00DA71B8" w:rsidRDefault="00766B7D" w:rsidP="001678AD">
            <w:pPr>
              <w:pStyle w:val="TableText0"/>
            </w:pPr>
          </w:p>
        </w:tc>
        <w:tc>
          <w:tcPr>
            <w:tcW w:w="1559" w:type="dxa"/>
            <w:tcMar>
              <w:left w:w="108" w:type="dxa"/>
              <w:right w:w="108" w:type="dxa"/>
            </w:tcMar>
          </w:tcPr>
          <w:p w14:paraId="4AB4B827" w14:textId="704E8720" w:rsidR="00766B7D" w:rsidRDefault="00766B7D" w:rsidP="001678AD">
            <w:pPr>
              <w:pStyle w:val="TableText0"/>
            </w:pPr>
            <w:r w:rsidRPr="00325B0D">
              <w:rPr>
                <w:rFonts w:cstheme="minorHAnsi"/>
                <w:sz w:val="20"/>
                <w:szCs w:val="20"/>
              </w:rPr>
              <w:t>Potato</w:t>
            </w:r>
          </w:p>
        </w:tc>
        <w:tc>
          <w:tcPr>
            <w:tcW w:w="1985" w:type="dxa"/>
            <w:tcMar>
              <w:left w:w="108" w:type="dxa"/>
              <w:right w:w="108" w:type="dxa"/>
            </w:tcMar>
          </w:tcPr>
          <w:p w14:paraId="12099A0B" w14:textId="73B3E4CC" w:rsidR="00766B7D" w:rsidRDefault="00766B7D" w:rsidP="001678AD">
            <w:pPr>
              <w:pStyle w:val="TableText0"/>
            </w:pPr>
            <w:r w:rsidRPr="00325B0D">
              <w:rPr>
                <w:rFonts w:cstheme="minorHAnsi"/>
                <w:sz w:val="20"/>
                <w:szCs w:val="20"/>
              </w:rPr>
              <w:t>0.3 – 0.4</w:t>
            </w:r>
          </w:p>
        </w:tc>
        <w:tc>
          <w:tcPr>
            <w:tcW w:w="1701" w:type="dxa"/>
            <w:tcMar>
              <w:left w:w="108" w:type="dxa"/>
              <w:right w:w="108" w:type="dxa"/>
            </w:tcMar>
          </w:tcPr>
          <w:p w14:paraId="156764BA" w14:textId="323C9EA4" w:rsidR="00766B7D" w:rsidRDefault="00766B7D" w:rsidP="001678AD">
            <w:pPr>
              <w:pStyle w:val="TableText0"/>
            </w:pPr>
            <w:r w:rsidRPr="00325B0D">
              <w:rPr>
                <w:rFonts w:cstheme="minorHAnsi"/>
                <w:sz w:val="20"/>
                <w:szCs w:val="20"/>
              </w:rPr>
              <w:t>WW</w:t>
            </w:r>
          </w:p>
        </w:tc>
        <w:tc>
          <w:tcPr>
            <w:tcW w:w="2549" w:type="dxa"/>
            <w:tcMar>
              <w:left w:w="108" w:type="dxa"/>
              <w:right w:w="108" w:type="dxa"/>
            </w:tcMar>
          </w:tcPr>
          <w:p w14:paraId="3A8FE70C" w14:textId="169DCA06" w:rsidR="00766B7D" w:rsidRDefault="00766B7D" w:rsidP="001678AD">
            <w:pPr>
              <w:pStyle w:val="TableText0"/>
            </w:pPr>
            <w:r w:rsidRPr="00325B0D">
              <w:rPr>
                <w:rFonts w:cstheme="minorHAnsi"/>
                <w:sz w:val="20"/>
                <w:szCs w:val="20"/>
              </w:rPr>
              <w:t>Lechner &amp; Knapp 2011</w:t>
            </w:r>
          </w:p>
        </w:tc>
      </w:tr>
      <w:tr w:rsidR="00766B7D" w14:paraId="2E337782" w14:textId="77777777" w:rsidTr="004636DE">
        <w:tc>
          <w:tcPr>
            <w:tcW w:w="1276" w:type="dxa"/>
            <w:vMerge/>
          </w:tcPr>
          <w:p w14:paraId="5869AB1D" w14:textId="77777777" w:rsidR="00766B7D" w:rsidRPr="00DA71B8" w:rsidRDefault="00766B7D" w:rsidP="001678AD">
            <w:pPr>
              <w:pStyle w:val="TableText0"/>
            </w:pPr>
          </w:p>
        </w:tc>
        <w:tc>
          <w:tcPr>
            <w:tcW w:w="1559" w:type="dxa"/>
            <w:tcMar>
              <w:left w:w="108" w:type="dxa"/>
              <w:right w:w="108" w:type="dxa"/>
            </w:tcMar>
          </w:tcPr>
          <w:p w14:paraId="68D6586A" w14:textId="6D55E539" w:rsidR="00766B7D" w:rsidRDefault="00766B7D" w:rsidP="001678AD">
            <w:pPr>
              <w:pStyle w:val="TableText0"/>
            </w:pPr>
            <w:r w:rsidRPr="00325B0D">
              <w:rPr>
                <w:rFonts w:cstheme="minorHAnsi"/>
                <w:sz w:val="20"/>
                <w:szCs w:val="20"/>
              </w:rPr>
              <w:t>Wheat grass</w:t>
            </w:r>
          </w:p>
        </w:tc>
        <w:tc>
          <w:tcPr>
            <w:tcW w:w="1985" w:type="dxa"/>
            <w:tcMar>
              <w:left w:w="108" w:type="dxa"/>
              <w:right w:w="108" w:type="dxa"/>
            </w:tcMar>
          </w:tcPr>
          <w:p w14:paraId="020AD565" w14:textId="3E5A757F" w:rsidR="00766B7D" w:rsidRDefault="00766B7D" w:rsidP="001678AD">
            <w:pPr>
              <w:pStyle w:val="TableText0"/>
            </w:pPr>
            <w:r w:rsidRPr="00325B0D">
              <w:rPr>
                <w:rFonts w:cstheme="minorHAnsi"/>
                <w:sz w:val="20"/>
                <w:szCs w:val="20"/>
              </w:rPr>
              <w:t>0.2</w:t>
            </w:r>
          </w:p>
        </w:tc>
        <w:tc>
          <w:tcPr>
            <w:tcW w:w="1701" w:type="dxa"/>
            <w:tcMar>
              <w:left w:w="108" w:type="dxa"/>
              <w:right w:w="108" w:type="dxa"/>
            </w:tcMar>
          </w:tcPr>
          <w:p w14:paraId="74A932F8" w14:textId="3B17F109" w:rsidR="00766B7D" w:rsidRDefault="00766B7D" w:rsidP="001678AD">
            <w:pPr>
              <w:pStyle w:val="TableText0"/>
            </w:pPr>
            <w:r w:rsidRPr="00325B0D">
              <w:rPr>
                <w:rFonts w:cstheme="minorHAnsi"/>
                <w:sz w:val="20"/>
                <w:szCs w:val="20"/>
              </w:rPr>
              <w:t>WW</w:t>
            </w:r>
          </w:p>
        </w:tc>
        <w:tc>
          <w:tcPr>
            <w:tcW w:w="2549" w:type="dxa"/>
            <w:tcMar>
              <w:left w:w="108" w:type="dxa"/>
              <w:right w:w="108" w:type="dxa"/>
            </w:tcMar>
          </w:tcPr>
          <w:p w14:paraId="1A15458A" w14:textId="6990C5DB" w:rsidR="00766B7D" w:rsidRDefault="00766B7D" w:rsidP="001678AD">
            <w:pPr>
              <w:pStyle w:val="TableText0"/>
            </w:pPr>
            <w:proofErr w:type="spellStart"/>
            <w:r w:rsidRPr="00325B0D">
              <w:rPr>
                <w:rFonts w:cstheme="minorHAnsi"/>
                <w:sz w:val="20"/>
                <w:szCs w:val="20"/>
              </w:rPr>
              <w:t>Bräunig</w:t>
            </w:r>
            <w:proofErr w:type="spellEnd"/>
            <w:r w:rsidRPr="00325B0D">
              <w:rPr>
                <w:rFonts w:cstheme="minorHAnsi"/>
                <w:sz w:val="20"/>
                <w:szCs w:val="20"/>
              </w:rPr>
              <w:t xml:space="preserve"> et al. 2018</w:t>
            </w:r>
          </w:p>
        </w:tc>
      </w:tr>
      <w:tr w:rsidR="001678AD" w14:paraId="50569DA5" w14:textId="77777777" w:rsidTr="004636DE">
        <w:tc>
          <w:tcPr>
            <w:tcW w:w="1276" w:type="dxa"/>
            <w:vMerge w:val="restart"/>
          </w:tcPr>
          <w:p w14:paraId="35A2B46E" w14:textId="3C0AE8BD" w:rsidR="001678AD" w:rsidRPr="00DA71B8" w:rsidRDefault="001678AD" w:rsidP="001678AD">
            <w:pPr>
              <w:pStyle w:val="TableText0"/>
            </w:pPr>
            <w:r>
              <w:t>Roots</w:t>
            </w:r>
          </w:p>
        </w:tc>
        <w:tc>
          <w:tcPr>
            <w:tcW w:w="1559" w:type="dxa"/>
            <w:tcMar>
              <w:left w:w="108" w:type="dxa"/>
              <w:right w:w="108" w:type="dxa"/>
            </w:tcMar>
          </w:tcPr>
          <w:p w14:paraId="3DF0AC17" w14:textId="1571DD15" w:rsidR="001678AD" w:rsidRDefault="001678AD" w:rsidP="001678AD">
            <w:pPr>
              <w:pStyle w:val="TableText0"/>
            </w:pPr>
            <w:r w:rsidRPr="00325B0D">
              <w:rPr>
                <w:rFonts w:cstheme="minorHAnsi"/>
                <w:sz w:val="20"/>
                <w:szCs w:val="20"/>
              </w:rPr>
              <w:t>Alfalfa</w:t>
            </w:r>
          </w:p>
        </w:tc>
        <w:tc>
          <w:tcPr>
            <w:tcW w:w="1985" w:type="dxa"/>
            <w:tcMar>
              <w:left w:w="108" w:type="dxa"/>
              <w:right w:w="108" w:type="dxa"/>
            </w:tcMar>
          </w:tcPr>
          <w:p w14:paraId="5506B6CF" w14:textId="13E8B3DD" w:rsidR="001678AD" w:rsidRDefault="001678AD" w:rsidP="001678AD">
            <w:pPr>
              <w:pStyle w:val="TableText0"/>
            </w:pPr>
            <w:r w:rsidRPr="00325B0D">
              <w:rPr>
                <w:rFonts w:cstheme="minorHAnsi"/>
                <w:sz w:val="20"/>
                <w:szCs w:val="20"/>
              </w:rPr>
              <w:t>3.1</w:t>
            </w:r>
          </w:p>
        </w:tc>
        <w:tc>
          <w:tcPr>
            <w:tcW w:w="1701" w:type="dxa"/>
            <w:tcMar>
              <w:left w:w="108" w:type="dxa"/>
              <w:right w:w="108" w:type="dxa"/>
            </w:tcMar>
          </w:tcPr>
          <w:p w14:paraId="7DA015D6" w14:textId="4293C3CE" w:rsidR="001678AD" w:rsidRDefault="001678AD" w:rsidP="001678AD">
            <w:pPr>
              <w:pStyle w:val="TableText0"/>
            </w:pPr>
            <w:r w:rsidRPr="00325B0D">
              <w:rPr>
                <w:rFonts w:cstheme="minorHAnsi"/>
                <w:sz w:val="20"/>
                <w:szCs w:val="20"/>
              </w:rPr>
              <w:t>DW</w:t>
            </w:r>
          </w:p>
        </w:tc>
        <w:tc>
          <w:tcPr>
            <w:tcW w:w="2549" w:type="dxa"/>
            <w:tcMar>
              <w:left w:w="108" w:type="dxa"/>
              <w:right w:w="108" w:type="dxa"/>
            </w:tcMar>
          </w:tcPr>
          <w:p w14:paraId="0172AF80" w14:textId="51AFAD61" w:rsidR="001678AD" w:rsidRDefault="001678AD" w:rsidP="001678AD">
            <w:pPr>
              <w:pStyle w:val="TableText0"/>
            </w:pPr>
            <w:r w:rsidRPr="00325B0D">
              <w:rPr>
                <w:rFonts w:cstheme="minorHAnsi"/>
                <w:sz w:val="20"/>
                <w:szCs w:val="20"/>
              </w:rPr>
              <w:t>Wen et al. 2016</w:t>
            </w:r>
          </w:p>
        </w:tc>
      </w:tr>
      <w:tr w:rsidR="001678AD" w14:paraId="3F1E7625" w14:textId="77777777" w:rsidTr="004636DE">
        <w:tc>
          <w:tcPr>
            <w:tcW w:w="1276" w:type="dxa"/>
            <w:vMerge/>
          </w:tcPr>
          <w:p w14:paraId="25EAA6EF" w14:textId="77777777" w:rsidR="001678AD" w:rsidRDefault="001678AD" w:rsidP="001678AD">
            <w:pPr>
              <w:pStyle w:val="TableText0"/>
            </w:pPr>
          </w:p>
        </w:tc>
        <w:tc>
          <w:tcPr>
            <w:tcW w:w="1559" w:type="dxa"/>
            <w:tcMar>
              <w:left w:w="108" w:type="dxa"/>
              <w:right w:w="108" w:type="dxa"/>
            </w:tcMar>
          </w:tcPr>
          <w:p w14:paraId="3612F4D8" w14:textId="70873877" w:rsidR="001678AD" w:rsidRDefault="001678AD" w:rsidP="001678AD">
            <w:pPr>
              <w:pStyle w:val="TableText0"/>
            </w:pPr>
            <w:r w:rsidRPr="00325B0D">
              <w:rPr>
                <w:rFonts w:cstheme="minorHAnsi"/>
                <w:sz w:val="20"/>
                <w:szCs w:val="20"/>
              </w:rPr>
              <w:t>Alfalfa</w:t>
            </w:r>
          </w:p>
        </w:tc>
        <w:tc>
          <w:tcPr>
            <w:tcW w:w="1985" w:type="dxa"/>
            <w:tcMar>
              <w:left w:w="108" w:type="dxa"/>
              <w:right w:w="108" w:type="dxa"/>
            </w:tcMar>
          </w:tcPr>
          <w:p w14:paraId="1047CA07" w14:textId="7DB1613E" w:rsidR="001678AD" w:rsidRDefault="001678AD" w:rsidP="001678AD">
            <w:pPr>
              <w:pStyle w:val="TableText0"/>
            </w:pPr>
            <w:r w:rsidRPr="00325B0D">
              <w:rPr>
                <w:rFonts w:cstheme="minorHAnsi"/>
                <w:sz w:val="20"/>
                <w:szCs w:val="20"/>
              </w:rPr>
              <w:t>4.3</w:t>
            </w:r>
          </w:p>
        </w:tc>
        <w:tc>
          <w:tcPr>
            <w:tcW w:w="1701" w:type="dxa"/>
            <w:tcMar>
              <w:left w:w="108" w:type="dxa"/>
              <w:right w:w="108" w:type="dxa"/>
            </w:tcMar>
          </w:tcPr>
          <w:p w14:paraId="2D1E33EE" w14:textId="44B5612D" w:rsidR="001678AD" w:rsidRDefault="001678AD" w:rsidP="001678AD">
            <w:pPr>
              <w:pStyle w:val="TableText0"/>
            </w:pPr>
            <w:r w:rsidRPr="00325B0D">
              <w:rPr>
                <w:rFonts w:cstheme="minorHAnsi"/>
                <w:sz w:val="20"/>
                <w:szCs w:val="20"/>
              </w:rPr>
              <w:t>DW</w:t>
            </w:r>
          </w:p>
        </w:tc>
        <w:tc>
          <w:tcPr>
            <w:tcW w:w="2549" w:type="dxa"/>
            <w:tcMar>
              <w:left w:w="108" w:type="dxa"/>
              <w:right w:w="108" w:type="dxa"/>
            </w:tcMar>
          </w:tcPr>
          <w:p w14:paraId="7ABAEC93" w14:textId="15A86E84" w:rsidR="001678AD" w:rsidRDefault="001678AD" w:rsidP="001678AD">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1678AD" w14:paraId="65DE3376" w14:textId="77777777" w:rsidTr="004636DE">
        <w:tc>
          <w:tcPr>
            <w:tcW w:w="1276" w:type="dxa"/>
            <w:vMerge/>
          </w:tcPr>
          <w:p w14:paraId="0EA7398B" w14:textId="77777777" w:rsidR="001678AD" w:rsidRDefault="001678AD" w:rsidP="001678AD">
            <w:pPr>
              <w:pStyle w:val="TableText0"/>
            </w:pPr>
          </w:p>
        </w:tc>
        <w:tc>
          <w:tcPr>
            <w:tcW w:w="1559" w:type="dxa"/>
            <w:tcMar>
              <w:left w:w="108" w:type="dxa"/>
              <w:right w:w="108" w:type="dxa"/>
            </w:tcMar>
          </w:tcPr>
          <w:p w14:paraId="40574F1B" w14:textId="34EB1745" w:rsidR="001678AD" w:rsidRDefault="001678AD" w:rsidP="001678AD">
            <w:pPr>
              <w:pStyle w:val="TableText0"/>
            </w:pPr>
            <w:r w:rsidRPr="00325B0D">
              <w:rPr>
                <w:rFonts w:cstheme="minorHAnsi"/>
                <w:sz w:val="20"/>
                <w:szCs w:val="20"/>
              </w:rPr>
              <w:t>Lettuce</w:t>
            </w:r>
          </w:p>
        </w:tc>
        <w:tc>
          <w:tcPr>
            <w:tcW w:w="1985" w:type="dxa"/>
            <w:tcMar>
              <w:left w:w="108" w:type="dxa"/>
              <w:right w:w="108" w:type="dxa"/>
            </w:tcMar>
          </w:tcPr>
          <w:p w14:paraId="70828ED4" w14:textId="2A6B8806" w:rsidR="001678AD" w:rsidRDefault="001678AD" w:rsidP="001678AD">
            <w:pPr>
              <w:pStyle w:val="TableText0"/>
            </w:pPr>
            <w:r w:rsidRPr="00325B0D">
              <w:rPr>
                <w:rFonts w:cstheme="minorHAnsi"/>
                <w:sz w:val="20"/>
                <w:szCs w:val="20"/>
              </w:rPr>
              <w:t>3.9</w:t>
            </w:r>
          </w:p>
        </w:tc>
        <w:tc>
          <w:tcPr>
            <w:tcW w:w="1701" w:type="dxa"/>
            <w:tcMar>
              <w:left w:w="108" w:type="dxa"/>
              <w:right w:w="108" w:type="dxa"/>
            </w:tcMar>
          </w:tcPr>
          <w:p w14:paraId="5BAE5AEB" w14:textId="1F0C8B69" w:rsidR="001678AD" w:rsidRDefault="001678AD" w:rsidP="001678AD">
            <w:pPr>
              <w:pStyle w:val="TableText0"/>
            </w:pPr>
            <w:r w:rsidRPr="00325B0D">
              <w:rPr>
                <w:rFonts w:cstheme="minorHAnsi"/>
                <w:sz w:val="20"/>
                <w:szCs w:val="20"/>
              </w:rPr>
              <w:t>DW</w:t>
            </w:r>
          </w:p>
        </w:tc>
        <w:tc>
          <w:tcPr>
            <w:tcW w:w="2549" w:type="dxa"/>
            <w:tcMar>
              <w:left w:w="108" w:type="dxa"/>
              <w:right w:w="108" w:type="dxa"/>
            </w:tcMar>
          </w:tcPr>
          <w:p w14:paraId="4AE2C59C" w14:textId="0805FD6F" w:rsidR="001678AD" w:rsidRDefault="001678AD" w:rsidP="001678AD">
            <w:pPr>
              <w:pStyle w:val="TableText0"/>
            </w:pPr>
            <w:r w:rsidRPr="00325B0D">
              <w:rPr>
                <w:rFonts w:cstheme="minorHAnsi"/>
                <w:sz w:val="20"/>
                <w:szCs w:val="20"/>
              </w:rPr>
              <w:t>Wen et al. 2016</w:t>
            </w:r>
          </w:p>
        </w:tc>
      </w:tr>
      <w:tr w:rsidR="001678AD" w14:paraId="0BAD83A0" w14:textId="77777777" w:rsidTr="004636DE">
        <w:tc>
          <w:tcPr>
            <w:tcW w:w="1276" w:type="dxa"/>
            <w:vMerge/>
          </w:tcPr>
          <w:p w14:paraId="4FED5803" w14:textId="77777777" w:rsidR="001678AD" w:rsidRDefault="001678AD" w:rsidP="001678AD">
            <w:pPr>
              <w:pStyle w:val="TableText0"/>
            </w:pPr>
          </w:p>
        </w:tc>
        <w:tc>
          <w:tcPr>
            <w:tcW w:w="1559" w:type="dxa"/>
            <w:tcMar>
              <w:left w:w="108" w:type="dxa"/>
              <w:right w:w="108" w:type="dxa"/>
            </w:tcMar>
          </w:tcPr>
          <w:p w14:paraId="5F56436E" w14:textId="68D84158" w:rsidR="001678AD" w:rsidRPr="00325B0D" w:rsidRDefault="001678AD" w:rsidP="001678AD">
            <w:pPr>
              <w:pStyle w:val="TableText0"/>
              <w:rPr>
                <w:rFonts w:cstheme="minorHAnsi"/>
                <w:sz w:val="20"/>
                <w:szCs w:val="20"/>
              </w:rPr>
            </w:pPr>
            <w:r w:rsidRPr="00325B0D">
              <w:rPr>
                <w:rFonts w:cstheme="minorHAnsi"/>
                <w:sz w:val="20"/>
                <w:szCs w:val="20"/>
              </w:rPr>
              <w:t>Maize</w:t>
            </w:r>
          </w:p>
        </w:tc>
        <w:tc>
          <w:tcPr>
            <w:tcW w:w="1985" w:type="dxa"/>
            <w:tcMar>
              <w:left w:w="108" w:type="dxa"/>
              <w:right w:w="108" w:type="dxa"/>
            </w:tcMar>
          </w:tcPr>
          <w:p w14:paraId="0B65B2B9" w14:textId="4B4FCBBF" w:rsidR="001678AD" w:rsidRPr="00325B0D" w:rsidRDefault="001678AD" w:rsidP="001678AD">
            <w:pPr>
              <w:pStyle w:val="TableText0"/>
              <w:rPr>
                <w:rFonts w:cstheme="minorHAnsi"/>
                <w:sz w:val="20"/>
                <w:szCs w:val="20"/>
              </w:rPr>
            </w:pPr>
            <w:r w:rsidRPr="00325B0D">
              <w:rPr>
                <w:rFonts w:cstheme="minorHAnsi"/>
                <w:sz w:val="20"/>
                <w:szCs w:val="20"/>
              </w:rPr>
              <w:t>2.7</w:t>
            </w:r>
          </w:p>
        </w:tc>
        <w:tc>
          <w:tcPr>
            <w:tcW w:w="1701" w:type="dxa"/>
            <w:tcMar>
              <w:left w:w="108" w:type="dxa"/>
              <w:right w:w="108" w:type="dxa"/>
            </w:tcMar>
          </w:tcPr>
          <w:p w14:paraId="57861BED" w14:textId="4F48451D"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4EEA4031" w14:textId="22904480" w:rsidR="001678AD" w:rsidRPr="00325B0D" w:rsidRDefault="001678AD" w:rsidP="001678AD">
            <w:pPr>
              <w:pStyle w:val="TableText0"/>
              <w:rPr>
                <w:rFonts w:cstheme="minorHAnsi"/>
                <w:sz w:val="20"/>
                <w:szCs w:val="20"/>
              </w:rPr>
            </w:pPr>
            <w:r w:rsidRPr="00325B0D">
              <w:rPr>
                <w:rFonts w:cstheme="minorHAnsi"/>
                <w:sz w:val="20"/>
                <w:szCs w:val="20"/>
              </w:rPr>
              <w:t>Wen et al. 2016</w:t>
            </w:r>
          </w:p>
        </w:tc>
      </w:tr>
      <w:tr w:rsidR="001678AD" w14:paraId="7643A479" w14:textId="77777777" w:rsidTr="004636DE">
        <w:tc>
          <w:tcPr>
            <w:tcW w:w="1276" w:type="dxa"/>
            <w:vMerge/>
          </w:tcPr>
          <w:p w14:paraId="59C09D55" w14:textId="77777777" w:rsidR="001678AD" w:rsidRDefault="001678AD" w:rsidP="001678AD">
            <w:pPr>
              <w:pStyle w:val="TableText0"/>
            </w:pPr>
          </w:p>
        </w:tc>
        <w:tc>
          <w:tcPr>
            <w:tcW w:w="1559" w:type="dxa"/>
            <w:tcMar>
              <w:left w:w="108" w:type="dxa"/>
              <w:right w:w="108" w:type="dxa"/>
            </w:tcMar>
          </w:tcPr>
          <w:p w14:paraId="4D60B1B3" w14:textId="13A0A99C" w:rsidR="001678AD" w:rsidRPr="00325B0D" w:rsidRDefault="001678AD" w:rsidP="001678AD">
            <w:pPr>
              <w:pStyle w:val="TableText0"/>
              <w:rPr>
                <w:rFonts w:cstheme="minorHAnsi"/>
                <w:sz w:val="20"/>
                <w:szCs w:val="20"/>
              </w:rPr>
            </w:pPr>
            <w:r w:rsidRPr="00325B0D">
              <w:rPr>
                <w:rFonts w:cstheme="minorHAnsi"/>
                <w:sz w:val="20"/>
                <w:szCs w:val="20"/>
              </w:rPr>
              <w:t>Mung bean</w:t>
            </w:r>
          </w:p>
        </w:tc>
        <w:tc>
          <w:tcPr>
            <w:tcW w:w="1985" w:type="dxa"/>
            <w:tcMar>
              <w:left w:w="108" w:type="dxa"/>
              <w:right w:w="108" w:type="dxa"/>
            </w:tcMar>
          </w:tcPr>
          <w:p w14:paraId="118E087B" w14:textId="1597879D" w:rsidR="001678AD" w:rsidRPr="00325B0D" w:rsidRDefault="001678AD" w:rsidP="001678AD">
            <w:pPr>
              <w:pStyle w:val="TableText0"/>
              <w:rPr>
                <w:rFonts w:cstheme="minorHAnsi"/>
                <w:sz w:val="20"/>
                <w:szCs w:val="20"/>
              </w:rPr>
            </w:pPr>
            <w:r w:rsidRPr="00325B0D">
              <w:rPr>
                <w:rFonts w:cstheme="minorHAnsi"/>
                <w:sz w:val="20"/>
                <w:szCs w:val="20"/>
              </w:rPr>
              <w:t>4.2</w:t>
            </w:r>
          </w:p>
        </w:tc>
        <w:tc>
          <w:tcPr>
            <w:tcW w:w="1701" w:type="dxa"/>
            <w:tcMar>
              <w:left w:w="108" w:type="dxa"/>
              <w:right w:w="108" w:type="dxa"/>
            </w:tcMar>
          </w:tcPr>
          <w:p w14:paraId="10E8121B" w14:textId="713A3F84"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320B4ADC" w14:textId="62A38E9B" w:rsidR="001678AD" w:rsidRPr="00325B0D" w:rsidRDefault="001678AD" w:rsidP="001678AD">
            <w:pPr>
              <w:pStyle w:val="TableText0"/>
              <w:rPr>
                <w:rFonts w:cstheme="minorHAnsi"/>
                <w:sz w:val="20"/>
                <w:szCs w:val="20"/>
              </w:rPr>
            </w:pPr>
            <w:r w:rsidRPr="00325B0D">
              <w:rPr>
                <w:rFonts w:cstheme="minorHAnsi"/>
                <w:sz w:val="20"/>
                <w:szCs w:val="20"/>
              </w:rPr>
              <w:t>Wen et al. 2016</w:t>
            </w:r>
          </w:p>
        </w:tc>
      </w:tr>
      <w:tr w:rsidR="001678AD" w14:paraId="5FB5842B" w14:textId="77777777" w:rsidTr="004636DE">
        <w:tc>
          <w:tcPr>
            <w:tcW w:w="1276" w:type="dxa"/>
            <w:vMerge/>
          </w:tcPr>
          <w:p w14:paraId="7B859584" w14:textId="77777777" w:rsidR="001678AD" w:rsidRDefault="001678AD" w:rsidP="001678AD">
            <w:pPr>
              <w:pStyle w:val="TableText0"/>
            </w:pPr>
          </w:p>
        </w:tc>
        <w:tc>
          <w:tcPr>
            <w:tcW w:w="1559" w:type="dxa"/>
            <w:tcMar>
              <w:left w:w="108" w:type="dxa"/>
              <w:right w:w="108" w:type="dxa"/>
            </w:tcMar>
          </w:tcPr>
          <w:p w14:paraId="4EC5D2E7" w14:textId="37A2C0A0" w:rsidR="001678AD" w:rsidRPr="00325B0D" w:rsidRDefault="001678AD" w:rsidP="001678AD">
            <w:pPr>
              <w:pStyle w:val="TableText0"/>
              <w:rPr>
                <w:rFonts w:cstheme="minorHAnsi"/>
                <w:sz w:val="20"/>
                <w:szCs w:val="20"/>
              </w:rPr>
            </w:pPr>
            <w:r w:rsidRPr="00325B0D">
              <w:rPr>
                <w:rFonts w:cstheme="minorHAnsi"/>
                <w:sz w:val="20"/>
                <w:szCs w:val="20"/>
              </w:rPr>
              <w:t>Ryegrass</w:t>
            </w:r>
          </w:p>
        </w:tc>
        <w:tc>
          <w:tcPr>
            <w:tcW w:w="1985" w:type="dxa"/>
            <w:tcMar>
              <w:left w:w="108" w:type="dxa"/>
              <w:right w:w="108" w:type="dxa"/>
            </w:tcMar>
          </w:tcPr>
          <w:p w14:paraId="1638BBC4" w14:textId="79C49EAD" w:rsidR="001678AD" w:rsidRPr="00325B0D" w:rsidRDefault="001678AD" w:rsidP="001678AD">
            <w:pPr>
              <w:pStyle w:val="TableText0"/>
              <w:rPr>
                <w:rFonts w:cstheme="minorHAnsi"/>
                <w:sz w:val="20"/>
                <w:szCs w:val="20"/>
              </w:rPr>
            </w:pPr>
            <w:r w:rsidRPr="00325B0D">
              <w:rPr>
                <w:rFonts w:cstheme="minorHAnsi"/>
                <w:sz w:val="20"/>
                <w:szCs w:val="20"/>
              </w:rPr>
              <w:t>1.4</w:t>
            </w:r>
          </w:p>
        </w:tc>
        <w:tc>
          <w:tcPr>
            <w:tcW w:w="1701" w:type="dxa"/>
            <w:tcMar>
              <w:left w:w="108" w:type="dxa"/>
              <w:right w:w="108" w:type="dxa"/>
            </w:tcMar>
          </w:tcPr>
          <w:p w14:paraId="19880B7F" w14:textId="070849EA"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132DD0F2" w14:textId="64083B3F" w:rsidR="001678AD" w:rsidRPr="00325B0D" w:rsidRDefault="001678AD" w:rsidP="001678AD">
            <w:pPr>
              <w:pStyle w:val="TableText0"/>
              <w:rPr>
                <w:rFonts w:cstheme="minorHAnsi"/>
                <w:sz w:val="20"/>
                <w:szCs w:val="20"/>
              </w:rPr>
            </w:pPr>
            <w:r w:rsidRPr="00325B0D">
              <w:rPr>
                <w:rFonts w:cstheme="minorHAnsi"/>
                <w:sz w:val="20"/>
                <w:szCs w:val="20"/>
              </w:rPr>
              <w:t>Wen et al. 2016</w:t>
            </w:r>
          </w:p>
        </w:tc>
      </w:tr>
      <w:tr w:rsidR="001678AD" w14:paraId="22ADD516" w14:textId="77777777" w:rsidTr="004636DE">
        <w:tc>
          <w:tcPr>
            <w:tcW w:w="1276" w:type="dxa"/>
            <w:vMerge/>
          </w:tcPr>
          <w:p w14:paraId="4B4CA443" w14:textId="77777777" w:rsidR="001678AD" w:rsidRDefault="001678AD" w:rsidP="001678AD">
            <w:pPr>
              <w:pStyle w:val="TableText0"/>
            </w:pPr>
          </w:p>
        </w:tc>
        <w:tc>
          <w:tcPr>
            <w:tcW w:w="1559" w:type="dxa"/>
            <w:tcMar>
              <w:left w:w="108" w:type="dxa"/>
              <w:right w:w="108" w:type="dxa"/>
            </w:tcMar>
          </w:tcPr>
          <w:p w14:paraId="5646691E" w14:textId="2AD5C44B" w:rsidR="001678AD" w:rsidRPr="00325B0D" w:rsidRDefault="001678AD" w:rsidP="001678AD">
            <w:pPr>
              <w:pStyle w:val="TableText0"/>
              <w:rPr>
                <w:rFonts w:cstheme="minorHAnsi"/>
                <w:sz w:val="20"/>
                <w:szCs w:val="20"/>
              </w:rPr>
            </w:pPr>
            <w:r w:rsidRPr="00325B0D">
              <w:rPr>
                <w:rFonts w:cstheme="minorHAnsi"/>
                <w:sz w:val="20"/>
                <w:szCs w:val="20"/>
              </w:rPr>
              <w:t>Soybean</w:t>
            </w:r>
          </w:p>
        </w:tc>
        <w:tc>
          <w:tcPr>
            <w:tcW w:w="1985" w:type="dxa"/>
            <w:tcMar>
              <w:left w:w="108" w:type="dxa"/>
              <w:right w:w="108" w:type="dxa"/>
            </w:tcMar>
          </w:tcPr>
          <w:p w14:paraId="663B8860" w14:textId="65D83401" w:rsidR="001678AD" w:rsidRPr="00325B0D" w:rsidRDefault="001678AD" w:rsidP="001678AD">
            <w:pPr>
              <w:pStyle w:val="TableText0"/>
              <w:rPr>
                <w:rFonts w:cstheme="minorHAnsi"/>
                <w:sz w:val="20"/>
                <w:szCs w:val="20"/>
              </w:rPr>
            </w:pPr>
            <w:r w:rsidRPr="00325B0D">
              <w:rPr>
                <w:rFonts w:cstheme="minorHAnsi"/>
                <w:sz w:val="20"/>
                <w:szCs w:val="20"/>
              </w:rPr>
              <w:t>4.7</w:t>
            </w:r>
          </w:p>
        </w:tc>
        <w:tc>
          <w:tcPr>
            <w:tcW w:w="1701" w:type="dxa"/>
            <w:tcMar>
              <w:left w:w="108" w:type="dxa"/>
              <w:right w:w="108" w:type="dxa"/>
            </w:tcMar>
          </w:tcPr>
          <w:p w14:paraId="14EBBAF8" w14:textId="3250047F"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32708BBE" w14:textId="42C958D3" w:rsidR="001678AD" w:rsidRPr="00325B0D" w:rsidRDefault="001678AD" w:rsidP="001678AD">
            <w:pPr>
              <w:pStyle w:val="TableText0"/>
              <w:rPr>
                <w:rFonts w:cstheme="minorHAnsi"/>
                <w:sz w:val="20"/>
                <w:szCs w:val="20"/>
              </w:rPr>
            </w:pPr>
            <w:r w:rsidRPr="00325B0D">
              <w:rPr>
                <w:rFonts w:cstheme="minorHAnsi"/>
                <w:sz w:val="20"/>
                <w:szCs w:val="20"/>
              </w:rPr>
              <w:t>Wen et al. 2016</w:t>
            </w:r>
          </w:p>
        </w:tc>
      </w:tr>
      <w:tr w:rsidR="001678AD" w14:paraId="22BD8754" w14:textId="77777777" w:rsidTr="004636DE">
        <w:tc>
          <w:tcPr>
            <w:tcW w:w="1276" w:type="dxa"/>
            <w:vMerge/>
          </w:tcPr>
          <w:p w14:paraId="580E59E7" w14:textId="77777777" w:rsidR="001678AD" w:rsidRDefault="001678AD" w:rsidP="001678AD">
            <w:pPr>
              <w:pStyle w:val="TableText0"/>
            </w:pPr>
          </w:p>
        </w:tc>
        <w:tc>
          <w:tcPr>
            <w:tcW w:w="1559" w:type="dxa"/>
            <w:tcMar>
              <w:left w:w="108" w:type="dxa"/>
              <w:right w:w="108" w:type="dxa"/>
            </w:tcMar>
          </w:tcPr>
          <w:p w14:paraId="399BD17A" w14:textId="41616494" w:rsidR="001678AD" w:rsidRPr="00325B0D" w:rsidRDefault="001678AD" w:rsidP="001678AD">
            <w:pPr>
              <w:pStyle w:val="TableText0"/>
              <w:rPr>
                <w:rFonts w:cstheme="minorHAnsi"/>
                <w:sz w:val="20"/>
                <w:szCs w:val="20"/>
              </w:rPr>
            </w:pPr>
            <w:r w:rsidRPr="00325B0D">
              <w:rPr>
                <w:rFonts w:cstheme="minorHAnsi"/>
                <w:sz w:val="20"/>
                <w:szCs w:val="20"/>
              </w:rPr>
              <w:t>Wheat</w:t>
            </w:r>
          </w:p>
        </w:tc>
        <w:tc>
          <w:tcPr>
            <w:tcW w:w="1985" w:type="dxa"/>
            <w:tcMar>
              <w:left w:w="108" w:type="dxa"/>
              <w:right w:w="108" w:type="dxa"/>
            </w:tcMar>
          </w:tcPr>
          <w:p w14:paraId="29C01801" w14:textId="505C5802" w:rsidR="001678AD" w:rsidRPr="00325B0D" w:rsidRDefault="001678AD" w:rsidP="001678AD">
            <w:pPr>
              <w:pStyle w:val="TableText0"/>
              <w:rPr>
                <w:rFonts w:cstheme="minorHAnsi"/>
                <w:sz w:val="20"/>
                <w:szCs w:val="20"/>
              </w:rPr>
            </w:pPr>
            <w:r w:rsidRPr="00325B0D">
              <w:rPr>
                <w:rFonts w:cstheme="minorHAnsi"/>
                <w:sz w:val="20"/>
                <w:szCs w:val="20"/>
              </w:rPr>
              <w:t>1.2 – 1.6</w:t>
            </w:r>
          </w:p>
        </w:tc>
        <w:tc>
          <w:tcPr>
            <w:tcW w:w="1701" w:type="dxa"/>
            <w:tcMar>
              <w:left w:w="108" w:type="dxa"/>
              <w:right w:w="108" w:type="dxa"/>
            </w:tcMar>
          </w:tcPr>
          <w:p w14:paraId="49659A4E" w14:textId="01A92131"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59DD882A" w14:textId="506B0DD2" w:rsidR="001678AD" w:rsidRPr="00325B0D" w:rsidRDefault="001678AD" w:rsidP="001678AD">
            <w:pPr>
              <w:pStyle w:val="TableText0"/>
              <w:rPr>
                <w:rFonts w:cstheme="minorHAnsi"/>
                <w:sz w:val="20"/>
                <w:szCs w:val="20"/>
              </w:rPr>
            </w:pPr>
            <w:r w:rsidRPr="00325B0D">
              <w:rPr>
                <w:rFonts w:cstheme="minorHAnsi"/>
                <w:sz w:val="20"/>
                <w:szCs w:val="20"/>
              </w:rPr>
              <w:t>Wen et al. 2014</w:t>
            </w:r>
          </w:p>
        </w:tc>
      </w:tr>
      <w:tr w:rsidR="001678AD" w14:paraId="6047AD67" w14:textId="77777777" w:rsidTr="004636DE">
        <w:tc>
          <w:tcPr>
            <w:tcW w:w="1276" w:type="dxa"/>
            <w:vMerge/>
          </w:tcPr>
          <w:p w14:paraId="47B953CB" w14:textId="77777777" w:rsidR="001678AD" w:rsidRDefault="001678AD" w:rsidP="001678AD">
            <w:pPr>
              <w:pStyle w:val="TableText0"/>
            </w:pPr>
          </w:p>
        </w:tc>
        <w:tc>
          <w:tcPr>
            <w:tcW w:w="1559" w:type="dxa"/>
            <w:tcMar>
              <w:left w:w="108" w:type="dxa"/>
              <w:right w:w="108" w:type="dxa"/>
            </w:tcMar>
          </w:tcPr>
          <w:p w14:paraId="2BD07461" w14:textId="35FE13E6" w:rsidR="001678AD" w:rsidRPr="00325B0D" w:rsidRDefault="001678AD" w:rsidP="001678AD">
            <w:pPr>
              <w:pStyle w:val="TableText0"/>
              <w:rPr>
                <w:rFonts w:cstheme="minorHAnsi"/>
                <w:sz w:val="20"/>
                <w:szCs w:val="20"/>
              </w:rPr>
            </w:pPr>
            <w:r w:rsidRPr="00325B0D">
              <w:rPr>
                <w:rFonts w:cstheme="minorHAnsi"/>
                <w:sz w:val="20"/>
                <w:szCs w:val="20"/>
              </w:rPr>
              <w:t>Wheat</w:t>
            </w:r>
          </w:p>
        </w:tc>
        <w:tc>
          <w:tcPr>
            <w:tcW w:w="1985" w:type="dxa"/>
            <w:tcMar>
              <w:left w:w="108" w:type="dxa"/>
              <w:right w:w="108" w:type="dxa"/>
            </w:tcMar>
          </w:tcPr>
          <w:p w14:paraId="770D7AB6" w14:textId="6F4E1EFE" w:rsidR="001678AD" w:rsidRPr="00325B0D" w:rsidRDefault="001678AD" w:rsidP="001678AD">
            <w:pPr>
              <w:pStyle w:val="TableText0"/>
              <w:rPr>
                <w:rFonts w:cstheme="minorHAnsi"/>
                <w:sz w:val="20"/>
                <w:szCs w:val="20"/>
              </w:rPr>
            </w:pPr>
            <w:r w:rsidRPr="00325B0D">
              <w:rPr>
                <w:rFonts w:cstheme="minorHAnsi"/>
                <w:sz w:val="20"/>
                <w:szCs w:val="20"/>
              </w:rPr>
              <w:t xml:space="preserve">0.9 </w:t>
            </w:r>
            <w:r w:rsidRPr="00325B0D">
              <w:rPr>
                <w:rFonts w:cs="Arial"/>
                <w:sz w:val="20"/>
                <w:szCs w:val="20"/>
              </w:rPr>
              <w:t>–</w:t>
            </w:r>
            <w:r w:rsidRPr="00325B0D">
              <w:rPr>
                <w:rFonts w:cstheme="minorHAnsi"/>
                <w:sz w:val="20"/>
                <w:szCs w:val="20"/>
              </w:rPr>
              <w:t xml:space="preserve"> 2.1</w:t>
            </w:r>
          </w:p>
        </w:tc>
        <w:tc>
          <w:tcPr>
            <w:tcW w:w="1701" w:type="dxa"/>
            <w:tcMar>
              <w:left w:w="108" w:type="dxa"/>
              <w:right w:w="108" w:type="dxa"/>
            </w:tcMar>
          </w:tcPr>
          <w:p w14:paraId="5B299146" w14:textId="2307D835"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64B71FB1" w14:textId="7EFE2C50" w:rsidR="001678AD" w:rsidRPr="00325B0D" w:rsidRDefault="001678AD" w:rsidP="001678AD">
            <w:pPr>
              <w:pStyle w:val="TableText0"/>
              <w:rPr>
                <w:rFonts w:cstheme="minorHAnsi"/>
                <w:sz w:val="20"/>
                <w:szCs w:val="20"/>
              </w:rPr>
            </w:pPr>
            <w:r w:rsidRPr="00325B0D">
              <w:rPr>
                <w:rFonts w:cstheme="minorHAnsi"/>
                <w:sz w:val="20"/>
                <w:szCs w:val="20"/>
              </w:rPr>
              <w:t>Zhao et al. 2014</w:t>
            </w:r>
          </w:p>
        </w:tc>
      </w:tr>
      <w:tr w:rsidR="001678AD" w14:paraId="75D76B7A" w14:textId="77777777" w:rsidTr="004636DE">
        <w:tc>
          <w:tcPr>
            <w:tcW w:w="1276" w:type="dxa"/>
            <w:vMerge w:val="restart"/>
          </w:tcPr>
          <w:p w14:paraId="4A78E425" w14:textId="48424D2B" w:rsidR="001678AD" w:rsidRDefault="001678AD" w:rsidP="001678AD">
            <w:pPr>
              <w:pStyle w:val="TableText0"/>
            </w:pPr>
            <w:r>
              <w:t xml:space="preserve">Grains </w:t>
            </w:r>
          </w:p>
        </w:tc>
        <w:tc>
          <w:tcPr>
            <w:tcW w:w="1559" w:type="dxa"/>
            <w:tcMar>
              <w:left w:w="108" w:type="dxa"/>
              <w:right w:w="108" w:type="dxa"/>
            </w:tcMar>
          </w:tcPr>
          <w:p w14:paraId="1AD53C6E" w14:textId="40E2B42E" w:rsidR="001678AD" w:rsidRPr="00325B0D" w:rsidRDefault="001678AD" w:rsidP="001678AD">
            <w:pPr>
              <w:pStyle w:val="TableText0"/>
              <w:rPr>
                <w:rFonts w:cstheme="minorHAnsi"/>
                <w:sz w:val="20"/>
                <w:szCs w:val="20"/>
              </w:rPr>
            </w:pPr>
            <w:r w:rsidRPr="00325B0D">
              <w:rPr>
                <w:rFonts w:cstheme="minorHAnsi"/>
                <w:sz w:val="20"/>
                <w:szCs w:val="20"/>
              </w:rPr>
              <w:t>Flax</w:t>
            </w:r>
          </w:p>
        </w:tc>
        <w:tc>
          <w:tcPr>
            <w:tcW w:w="1985" w:type="dxa"/>
            <w:tcMar>
              <w:left w:w="108" w:type="dxa"/>
              <w:right w:w="108" w:type="dxa"/>
            </w:tcMar>
          </w:tcPr>
          <w:p w14:paraId="017C0B67" w14:textId="54271E47" w:rsidR="001678AD" w:rsidRPr="00325B0D" w:rsidRDefault="001678AD" w:rsidP="001678AD">
            <w:pPr>
              <w:pStyle w:val="TableText0"/>
              <w:rPr>
                <w:rFonts w:cstheme="minorHAnsi"/>
                <w:sz w:val="20"/>
                <w:szCs w:val="20"/>
              </w:rPr>
            </w:pPr>
            <w:r w:rsidRPr="00325B0D">
              <w:rPr>
                <w:rFonts w:cstheme="minorHAnsi"/>
                <w:sz w:val="20"/>
                <w:szCs w:val="20"/>
              </w:rPr>
              <w:t>0.04 – 0.09</w:t>
            </w:r>
          </w:p>
        </w:tc>
        <w:tc>
          <w:tcPr>
            <w:tcW w:w="1701" w:type="dxa"/>
            <w:tcMar>
              <w:left w:w="108" w:type="dxa"/>
              <w:right w:w="108" w:type="dxa"/>
            </w:tcMar>
          </w:tcPr>
          <w:p w14:paraId="0ECE0DD1" w14:textId="7BC17443"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11F4C287" w14:textId="479632D0" w:rsidR="001678AD" w:rsidRPr="00325B0D" w:rsidRDefault="001678AD" w:rsidP="001678AD">
            <w:pPr>
              <w:pStyle w:val="TableText0"/>
              <w:rPr>
                <w:rFonts w:cstheme="minorHAnsi"/>
                <w:sz w:val="20"/>
                <w:szCs w:val="20"/>
              </w:rPr>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r w:rsidR="001678AD" w14:paraId="1E6E4FD8" w14:textId="77777777" w:rsidTr="004636DE">
        <w:tc>
          <w:tcPr>
            <w:tcW w:w="1276" w:type="dxa"/>
            <w:vMerge/>
          </w:tcPr>
          <w:p w14:paraId="7CE55F04" w14:textId="77777777" w:rsidR="001678AD" w:rsidRDefault="001678AD" w:rsidP="001678AD">
            <w:pPr>
              <w:pStyle w:val="TableText0"/>
            </w:pPr>
          </w:p>
        </w:tc>
        <w:tc>
          <w:tcPr>
            <w:tcW w:w="1559" w:type="dxa"/>
            <w:tcMar>
              <w:left w:w="108" w:type="dxa"/>
              <w:right w:w="108" w:type="dxa"/>
            </w:tcMar>
          </w:tcPr>
          <w:p w14:paraId="067B1B3C" w14:textId="682834CB" w:rsidR="001678AD" w:rsidRPr="00325B0D" w:rsidRDefault="001678AD" w:rsidP="001678AD">
            <w:pPr>
              <w:pStyle w:val="TableText0"/>
              <w:rPr>
                <w:rFonts w:cstheme="minorHAnsi"/>
                <w:sz w:val="20"/>
                <w:szCs w:val="20"/>
              </w:rPr>
            </w:pPr>
            <w:r w:rsidRPr="00325B0D">
              <w:rPr>
                <w:rFonts w:cstheme="minorHAnsi"/>
                <w:sz w:val="20"/>
                <w:szCs w:val="20"/>
              </w:rPr>
              <w:t>Oats</w:t>
            </w:r>
          </w:p>
        </w:tc>
        <w:tc>
          <w:tcPr>
            <w:tcW w:w="1985" w:type="dxa"/>
            <w:tcMar>
              <w:left w:w="108" w:type="dxa"/>
              <w:right w:w="108" w:type="dxa"/>
            </w:tcMar>
          </w:tcPr>
          <w:p w14:paraId="3BD08D29" w14:textId="697E4AC7" w:rsidR="001678AD" w:rsidRPr="00325B0D" w:rsidRDefault="001678AD" w:rsidP="001678AD">
            <w:pPr>
              <w:pStyle w:val="TableText0"/>
              <w:rPr>
                <w:rFonts w:cstheme="minorHAnsi"/>
                <w:sz w:val="20"/>
                <w:szCs w:val="20"/>
              </w:rPr>
            </w:pPr>
            <w:r w:rsidRPr="00325B0D">
              <w:rPr>
                <w:rFonts w:cstheme="minorHAnsi"/>
                <w:sz w:val="20"/>
                <w:szCs w:val="20"/>
              </w:rPr>
              <w:t>0.002 – 0.02</w:t>
            </w:r>
          </w:p>
        </w:tc>
        <w:tc>
          <w:tcPr>
            <w:tcW w:w="1701" w:type="dxa"/>
            <w:tcMar>
              <w:left w:w="108" w:type="dxa"/>
              <w:right w:w="108" w:type="dxa"/>
            </w:tcMar>
          </w:tcPr>
          <w:p w14:paraId="4AC438DB" w14:textId="2D0797E0"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64C61707" w14:textId="175A2F37" w:rsidR="001678AD" w:rsidRPr="00325B0D" w:rsidRDefault="001678AD" w:rsidP="001678AD">
            <w:pPr>
              <w:pStyle w:val="TableText0"/>
              <w:rPr>
                <w:rFonts w:cstheme="minorHAnsi"/>
                <w:sz w:val="20"/>
                <w:szCs w:val="20"/>
              </w:rPr>
            </w:pPr>
            <w:r w:rsidRPr="00325B0D">
              <w:rPr>
                <w:rFonts w:cstheme="minorHAnsi"/>
                <w:sz w:val="20"/>
                <w:szCs w:val="20"/>
              </w:rPr>
              <w:t>Stahl et al. 2009</w:t>
            </w:r>
          </w:p>
        </w:tc>
      </w:tr>
      <w:tr w:rsidR="001678AD" w14:paraId="3EDDA441" w14:textId="77777777" w:rsidTr="004636DE">
        <w:tc>
          <w:tcPr>
            <w:tcW w:w="1276" w:type="dxa"/>
            <w:vMerge/>
          </w:tcPr>
          <w:p w14:paraId="028C5285" w14:textId="77777777" w:rsidR="001678AD" w:rsidRDefault="001678AD" w:rsidP="001678AD">
            <w:pPr>
              <w:pStyle w:val="TableText0"/>
            </w:pPr>
          </w:p>
        </w:tc>
        <w:tc>
          <w:tcPr>
            <w:tcW w:w="1559" w:type="dxa"/>
            <w:tcMar>
              <w:left w:w="108" w:type="dxa"/>
              <w:right w:w="108" w:type="dxa"/>
            </w:tcMar>
          </w:tcPr>
          <w:p w14:paraId="5C4676CE" w14:textId="79D2055A" w:rsidR="001678AD" w:rsidRPr="00325B0D" w:rsidRDefault="001678AD" w:rsidP="001678AD">
            <w:pPr>
              <w:pStyle w:val="TableText0"/>
              <w:rPr>
                <w:rFonts w:cstheme="minorHAnsi"/>
                <w:sz w:val="20"/>
                <w:szCs w:val="20"/>
              </w:rPr>
            </w:pPr>
            <w:r w:rsidRPr="00325B0D">
              <w:rPr>
                <w:rFonts w:cstheme="minorHAnsi"/>
                <w:sz w:val="20"/>
                <w:szCs w:val="20"/>
              </w:rPr>
              <w:t>Maize</w:t>
            </w:r>
          </w:p>
        </w:tc>
        <w:tc>
          <w:tcPr>
            <w:tcW w:w="1985" w:type="dxa"/>
            <w:tcMar>
              <w:left w:w="108" w:type="dxa"/>
              <w:right w:w="108" w:type="dxa"/>
            </w:tcMar>
          </w:tcPr>
          <w:p w14:paraId="1648A96A" w14:textId="09244CA1" w:rsidR="001678AD" w:rsidRPr="00325B0D" w:rsidRDefault="001678AD" w:rsidP="001678AD">
            <w:pPr>
              <w:pStyle w:val="TableText0"/>
              <w:rPr>
                <w:rFonts w:cstheme="minorHAnsi"/>
                <w:sz w:val="20"/>
                <w:szCs w:val="20"/>
              </w:rPr>
            </w:pPr>
            <w:r w:rsidRPr="00325B0D">
              <w:rPr>
                <w:rFonts w:cstheme="minorHAnsi"/>
                <w:sz w:val="20"/>
                <w:szCs w:val="20"/>
              </w:rPr>
              <w:t>&lt;LOD – 0.008</w:t>
            </w:r>
          </w:p>
        </w:tc>
        <w:tc>
          <w:tcPr>
            <w:tcW w:w="1701" w:type="dxa"/>
            <w:tcMar>
              <w:left w:w="108" w:type="dxa"/>
              <w:right w:w="108" w:type="dxa"/>
            </w:tcMar>
          </w:tcPr>
          <w:p w14:paraId="7C97F330" w14:textId="509C6493"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6C5974AB" w14:textId="1ACB3C10" w:rsidR="001678AD" w:rsidRPr="00325B0D" w:rsidRDefault="001678AD" w:rsidP="001678AD">
            <w:pPr>
              <w:pStyle w:val="TableText0"/>
              <w:rPr>
                <w:rFonts w:cstheme="minorHAnsi"/>
                <w:sz w:val="20"/>
                <w:szCs w:val="20"/>
              </w:rPr>
            </w:pPr>
            <w:r w:rsidRPr="00325B0D">
              <w:rPr>
                <w:rFonts w:cstheme="minorHAnsi"/>
                <w:sz w:val="20"/>
                <w:szCs w:val="20"/>
              </w:rPr>
              <w:t>Stahl et al. 2009</w:t>
            </w:r>
          </w:p>
        </w:tc>
      </w:tr>
      <w:tr w:rsidR="001678AD" w14:paraId="3494202C" w14:textId="77777777" w:rsidTr="004636DE">
        <w:tc>
          <w:tcPr>
            <w:tcW w:w="1276" w:type="dxa"/>
            <w:vMerge/>
          </w:tcPr>
          <w:p w14:paraId="23D2A527" w14:textId="77777777" w:rsidR="001678AD" w:rsidRDefault="001678AD" w:rsidP="001678AD">
            <w:pPr>
              <w:pStyle w:val="TableText0"/>
            </w:pPr>
          </w:p>
        </w:tc>
        <w:tc>
          <w:tcPr>
            <w:tcW w:w="1559" w:type="dxa"/>
            <w:tcMar>
              <w:left w:w="108" w:type="dxa"/>
              <w:right w:w="108" w:type="dxa"/>
            </w:tcMar>
          </w:tcPr>
          <w:p w14:paraId="63168A6E" w14:textId="01CBF16E" w:rsidR="001678AD" w:rsidRPr="00325B0D" w:rsidRDefault="001678AD" w:rsidP="001678AD">
            <w:pPr>
              <w:pStyle w:val="TableText0"/>
              <w:rPr>
                <w:rFonts w:cstheme="minorHAnsi"/>
                <w:sz w:val="20"/>
                <w:szCs w:val="20"/>
              </w:rPr>
            </w:pPr>
            <w:r w:rsidRPr="00325B0D">
              <w:rPr>
                <w:rFonts w:cstheme="minorHAnsi"/>
                <w:sz w:val="20"/>
                <w:szCs w:val="20"/>
              </w:rPr>
              <w:t>Wheat</w:t>
            </w:r>
          </w:p>
        </w:tc>
        <w:tc>
          <w:tcPr>
            <w:tcW w:w="1985" w:type="dxa"/>
            <w:tcMar>
              <w:left w:w="108" w:type="dxa"/>
              <w:right w:w="108" w:type="dxa"/>
            </w:tcMar>
          </w:tcPr>
          <w:p w14:paraId="72C97FD1" w14:textId="07F9C49C" w:rsidR="001678AD" w:rsidRPr="00325B0D" w:rsidRDefault="001678AD" w:rsidP="001678AD">
            <w:pPr>
              <w:pStyle w:val="TableText0"/>
              <w:rPr>
                <w:rFonts w:cstheme="minorHAnsi"/>
                <w:sz w:val="20"/>
                <w:szCs w:val="20"/>
              </w:rPr>
            </w:pPr>
            <w:r w:rsidRPr="00325B0D">
              <w:rPr>
                <w:rFonts w:cstheme="minorHAnsi"/>
                <w:sz w:val="20"/>
                <w:szCs w:val="20"/>
              </w:rPr>
              <w:t>&lt;LOD – 0.0007</w:t>
            </w:r>
          </w:p>
        </w:tc>
        <w:tc>
          <w:tcPr>
            <w:tcW w:w="1701" w:type="dxa"/>
            <w:tcMar>
              <w:left w:w="108" w:type="dxa"/>
              <w:right w:w="108" w:type="dxa"/>
            </w:tcMar>
          </w:tcPr>
          <w:p w14:paraId="3739574F" w14:textId="13F83845"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2DD73835" w14:textId="34935DE3" w:rsidR="001678AD" w:rsidRPr="00325B0D" w:rsidRDefault="001678AD" w:rsidP="001678AD">
            <w:pPr>
              <w:pStyle w:val="TableText0"/>
              <w:rPr>
                <w:rFonts w:cstheme="minorHAnsi"/>
                <w:sz w:val="20"/>
                <w:szCs w:val="20"/>
              </w:rPr>
            </w:pPr>
            <w:r w:rsidRPr="00325B0D">
              <w:rPr>
                <w:rFonts w:cstheme="minorHAnsi"/>
                <w:sz w:val="20"/>
                <w:szCs w:val="20"/>
              </w:rPr>
              <w:t>Stahl et al. 2009</w:t>
            </w:r>
          </w:p>
        </w:tc>
      </w:tr>
      <w:tr w:rsidR="001678AD" w14:paraId="263C0A73" w14:textId="77777777" w:rsidTr="004636DE">
        <w:tc>
          <w:tcPr>
            <w:tcW w:w="1276" w:type="dxa"/>
            <w:vMerge/>
          </w:tcPr>
          <w:p w14:paraId="461CAF91" w14:textId="77777777" w:rsidR="001678AD" w:rsidRDefault="001678AD" w:rsidP="001678AD">
            <w:pPr>
              <w:pStyle w:val="TableText0"/>
            </w:pPr>
          </w:p>
        </w:tc>
        <w:tc>
          <w:tcPr>
            <w:tcW w:w="1559" w:type="dxa"/>
            <w:tcMar>
              <w:left w:w="108" w:type="dxa"/>
              <w:right w:w="108" w:type="dxa"/>
            </w:tcMar>
          </w:tcPr>
          <w:p w14:paraId="55881E5F" w14:textId="1485AC37" w:rsidR="001678AD" w:rsidRPr="00325B0D" w:rsidRDefault="001678AD" w:rsidP="001678AD">
            <w:pPr>
              <w:pStyle w:val="TableText0"/>
              <w:rPr>
                <w:rFonts w:cstheme="minorHAnsi"/>
                <w:sz w:val="20"/>
                <w:szCs w:val="20"/>
              </w:rPr>
            </w:pPr>
            <w:r w:rsidRPr="00325B0D">
              <w:rPr>
                <w:rFonts w:cstheme="minorHAnsi"/>
                <w:sz w:val="20"/>
                <w:szCs w:val="20"/>
              </w:rPr>
              <w:t>Wheat</w:t>
            </w:r>
          </w:p>
        </w:tc>
        <w:tc>
          <w:tcPr>
            <w:tcW w:w="1985" w:type="dxa"/>
            <w:tcMar>
              <w:left w:w="108" w:type="dxa"/>
              <w:right w:w="108" w:type="dxa"/>
            </w:tcMar>
          </w:tcPr>
          <w:p w14:paraId="62021467" w14:textId="672C7489" w:rsidR="001678AD" w:rsidRPr="00325B0D" w:rsidRDefault="001678AD" w:rsidP="001678AD">
            <w:pPr>
              <w:pStyle w:val="TableText0"/>
              <w:rPr>
                <w:rFonts w:cstheme="minorHAnsi"/>
                <w:sz w:val="20"/>
                <w:szCs w:val="20"/>
              </w:rPr>
            </w:pPr>
            <w:r w:rsidRPr="00325B0D">
              <w:rPr>
                <w:rFonts w:cstheme="minorHAnsi"/>
                <w:sz w:val="20"/>
                <w:szCs w:val="20"/>
              </w:rPr>
              <w:t>0.06 – 0.08</w:t>
            </w:r>
          </w:p>
        </w:tc>
        <w:tc>
          <w:tcPr>
            <w:tcW w:w="1701" w:type="dxa"/>
            <w:tcMar>
              <w:left w:w="108" w:type="dxa"/>
              <w:right w:w="108" w:type="dxa"/>
            </w:tcMar>
          </w:tcPr>
          <w:p w14:paraId="04D590DC" w14:textId="2F7F96F5"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1022E872" w14:textId="4CCEF571" w:rsidR="001678AD" w:rsidRPr="00325B0D" w:rsidRDefault="001678AD" w:rsidP="001678AD">
            <w:pPr>
              <w:pStyle w:val="TableText0"/>
              <w:rPr>
                <w:rFonts w:cstheme="minorHAnsi"/>
                <w:sz w:val="20"/>
                <w:szCs w:val="20"/>
              </w:rPr>
            </w:pPr>
            <w:r w:rsidRPr="00325B0D">
              <w:rPr>
                <w:rFonts w:cstheme="minorHAnsi"/>
                <w:sz w:val="20"/>
                <w:szCs w:val="20"/>
              </w:rPr>
              <w:t>Wen et al. 2014</w:t>
            </w:r>
          </w:p>
        </w:tc>
      </w:tr>
      <w:tr w:rsidR="001678AD" w14:paraId="5941971C" w14:textId="77777777" w:rsidTr="004636DE">
        <w:tc>
          <w:tcPr>
            <w:tcW w:w="1276" w:type="dxa"/>
          </w:tcPr>
          <w:p w14:paraId="37E88C6D" w14:textId="3CED4E14" w:rsidR="001678AD" w:rsidRDefault="001678AD" w:rsidP="001678AD">
            <w:pPr>
              <w:pStyle w:val="TableText0"/>
            </w:pPr>
            <w:r>
              <w:t>Legumes</w:t>
            </w:r>
          </w:p>
        </w:tc>
        <w:tc>
          <w:tcPr>
            <w:tcW w:w="1559" w:type="dxa"/>
            <w:tcMar>
              <w:left w:w="108" w:type="dxa"/>
              <w:right w:w="108" w:type="dxa"/>
            </w:tcMar>
          </w:tcPr>
          <w:p w14:paraId="6F5FF1E2" w14:textId="7A2B429F" w:rsidR="001678AD" w:rsidRPr="00325B0D" w:rsidRDefault="001678AD" w:rsidP="001678AD">
            <w:pPr>
              <w:pStyle w:val="TableText0"/>
              <w:rPr>
                <w:rFonts w:cstheme="minorHAnsi"/>
                <w:sz w:val="20"/>
                <w:szCs w:val="20"/>
              </w:rPr>
            </w:pPr>
            <w:r w:rsidRPr="00325B0D">
              <w:rPr>
                <w:rFonts w:cstheme="minorHAnsi"/>
                <w:sz w:val="20"/>
                <w:szCs w:val="20"/>
              </w:rPr>
              <w:t>Soybean</w:t>
            </w:r>
          </w:p>
        </w:tc>
        <w:tc>
          <w:tcPr>
            <w:tcW w:w="1985" w:type="dxa"/>
            <w:tcMar>
              <w:left w:w="108" w:type="dxa"/>
              <w:right w:w="108" w:type="dxa"/>
            </w:tcMar>
          </w:tcPr>
          <w:p w14:paraId="4ECF70EC" w14:textId="68A7CF29" w:rsidR="001678AD" w:rsidRPr="00325B0D" w:rsidRDefault="001678AD" w:rsidP="001678AD">
            <w:pPr>
              <w:pStyle w:val="TableText0"/>
              <w:rPr>
                <w:rFonts w:cstheme="minorHAnsi"/>
                <w:sz w:val="20"/>
                <w:szCs w:val="20"/>
              </w:rPr>
            </w:pPr>
            <w:r w:rsidRPr="00325B0D">
              <w:rPr>
                <w:rFonts w:cstheme="minorHAnsi"/>
                <w:sz w:val="20"/>
                <w:szCs w:val="20"/>
              </w:rPr>
              <w:t>0.02 – 0.4</w:t>
            </w:r>
          </w:p>
        </w:tc>
        <w:tc>
          <w:tcPr>
            <w:tcW w:w="1701" w:type="dxa"/>
            <w:tcMar>
              <w:left w:w="108" w:type="dxa"/>
              <w:right w:w="108" w:type="dxa"/>
            </w:tcMar>
          </w:tcPr>
          <w:p w14:paraId="072BF776" w14:textId="08C34C69" w:rsidR="001678AD" w:rsidRPr="00325B0D" w:rsidRDefault="001678AD" w:rsidP="001678AD">
            <w:pPr>
              <w:pStyle w:val="TableText0"/>
              <w:rPr>
                <w:rFonts w:cstheme="minorHAnsi"/>
                <w:sz w:val="20"/>
                <w:szCs w:val="20"/>
              </w:rPr>
            </w:pPr>
            <w:r w:rsidRPr="00325B0D">
              <w:rPr>
                <w:rFonts w:cstheme="minorHAnsi"/>
                <w:sz w:val="20"/>
                <w:szCs w:val="20"/>
              </w:rPr>
              <w:t>DW</w:t>
            </w:r>
          </w:p>
        </w:tc>
        <w:tc>
          <w:tcPr>
            <w:tcW w:w="2549" w:type="dxa"/>
            <w:tcMar>
              <w:left w:w="108" w:type="dxa"/>
              <w:right w:w="108" w:type="dxa"/>
            </w:tcMar>
          </w:tcPr>
          <w:p w14:paraId="3CC128A8" w14:textId="47571CEE" w:rsidR="001678AD" w:rsidRPr="00325B0D" w:rsidRDefault="001678AD" w:rsidP="001678AD">
            <w:pPr>
              <w:pStyle w:val="TableText0"/>
              <w:rPr>
                <w:rFonts w:cstheme="minorHAnsi"/>
                <w:sz w:val="20"/>
                <w:szCs w:val="20"/>
              </w:rPr>
            </w:pPr>
            <w:proofErr w:type="spellStart"/>
            <w:r w:rsidRPr="00325B0D">
              <w:rPr>
                <w:rFonts w:cstheme="minorHAnsi"/>
                <w:sz w:val="20"/>
                <w:szCs w:val="20"/>
              </w:rPr>
              <w:t>Brignole</w:t>
            </w:r>
            <w:proofErr w:type="spellEnd"/>
            <w:r w:rsidRPr="00325B0D">
              <w:rPr>
                <w:rFonts w:cstheme="minorHAnsi"/>
                <w:sz w:val="20"/>
                <w:szCs w:val="20"/>
              </w:rPr>
              <w:t xml:space="preserve"> et al. 2003</w:t>
            </w:r>
          </w:p>
        </w:tc>
      </w:tr>
    </w:tbl>
    <w:p w14:paraId="73376DBD" w14:textId="54505DB5" w:rsidR="001118A0" w:rsidRPr="0065446B" w:rsidRDefault="001678AD" w:rsidP="001678AD">
      <w:pPr>
        <w:pStyle w:val="Normalsmall"/>
        <w:rPr>
          <w:sz w:val="20"/>
          <w:szCs w:val="20"/>
          <w:lang w:eastAsia="ja-JP"/>
        </w:rPr>
      </w:pPr>
      <w:bookmarkStart w:id="26" w:name="_Hlk110609034"/>
      <w:bookmarkEnd w:id="25"/>
      <w:r w:rsidRPr="0065446B">
        <w:rPr>
          <w:sz w:val="20"/>
          <w:szCs w:val="20"/>
          <w:lang w:eastAsia="ja-JP"/>
        </w:rPr>
        <w:t>Notes</w:t>
      </w:r>
    </w:p>
    <w:p w14:paraId="2A27D4F4" w14:textId="5284CF6D" w:rsidR="001678AD" w:rsidRDefault="001678AD" w:rsidP="001678AD">
      <w:pPr>
        <w:pStyle w:val="Normalsmall"/>
        <w:rPr>
          <w:sz w:val="20"/>
          <w:szCs w:val="20"/>
        </w:rPr>
      </w:pPr>
      <w:r w:rsidRPr="00C746FF">
        <w:rPr>
          <w:sz w:val="20"/>
          <w:szCs w:val="20"/>
          <w:vertAlign w:val="superscript"/>
          <w:lang w:eastAsia="ja-JP"/>
        </w:rPr>
        <w:t xml:space="preserve">a </w:t>
      </w:r>
      <w:r w:rsidRPr="004636DE">
        <w:rPr>
          <w:sz w:val="20"/>
          <w:szCs w:val="20"/>
        </w:rPr>
        <w:t>DW = dry weight; WW = wet weight.</w:t>
      </w:r>
    </w:p>
    <w:p w14:paraId="4C16747E" w14:textId="4FFBB4DD" w:rsidR="0065446B" w:rsidRPr="004636DE" w:rsidRDefault="0065446B" w:rsidP="001678AD">
      <w:pPr>
        <w:pStyle w:val="Normalsmall"/>
        <w:rPr>
          <w:sz w:val="20"/>
          <w:szCs w:val="20"/>
        </w:rPr>
      </w:pPr>
      <w:r>
        <w:rPr>
          <w:sz w:val="20"/>
          <w:szCs w:val="20"/>
        </w:rPr>
        <w:t>LOD refers to the limit of detection</w:t>
      </w:r>
    </w:p>
    <w:p w14:paraId="182C2DD0" w14:textId="45B7B201" w:rsidR="00185777" w:rsidRPr="0065446B" w:rsidRDefault="00185777" w:rsidP="001678AD">
      <w:pPr>
        <w:pStyle w:val="Normalsmall"/>
        <w:rPr>
          <w:sz w:val="20"/>
          <w:szCs w:val="20"/>
        </w:rPr>
      </w:pPr>
      <w:r w:rsidRPr="0065446B">
        <w:rPr>
          <w:sz w:val="20"/>
          <w:szCs w:val="20"/>
        </w:rPr>
        <w:t>These tables are not exhaustive lists of the available literature.</w:t>
      </w:r>
    </w:p>
    <w:p w14:paraId="3334B73E" w14:textId="77777777" w:rsidR="000878D2" w:rsidRPr="000878D2" w:rsidRDefault="000878D2" w:rsidP="001678AD">
      <w:pPr>
        <w:pStyle w:val="Normalsmall"/>
        <w:rPr>
          <w:sz w:val="20"/>
          <w:szCs w:val="20"/>
          <w:lang w:eastAsia="ja-JP"/>
        </w:rPr>
      </w:pPr>
    </w:p>
    <w:p w14:paraId="7593B4EC" w14:textId="6716653A" w:rsidR="002A2F4A" w:rsidRDefault="002A2F4A" w:rsidP="002A2F4A">
      <w:pPr>
        <w:pStyle w:val="Caption"/>
      </w:pPr>
      <w:bookmarkStart w:id="27" w:name="_Toc112679542"/>
      <w:r>
        <w:t xml:space="preserve">Table </w:t>
      </w:r>
      <w:r w:rsidR="008D7C8F">
        <w:fldChar w:fldCharType="begin"/>
      </w:r>
      <w:r w:rsidR="008D7C8F">
        <w:instrText xml:space="preserve"> SEQ Table \* ARABIC </w:instrText>
      </w:r>
      <w:r w:rsidR="008D7C8F">
        <w:fldChar w:fldCharType="separate"/>
      </w:r>
      <w:r w:rsidR="00C96EE9">
        <w:rPr>
          <w:noProof/>
        </w:rPr>
        <w:t>4</w:t>
      </w:r>
      <w:r w:rsidR="008D7C8F">
        <w:rPr>
          <w:noProof/>
        </w:rPr>
        <w:fldChar w:fldCharType="end"/>
      </w:r>
      <w:r>
        <w:t xml:space="preserve"> </w:t>
      </w:r>
      <w:r w:rsidRPr="00882A1C">
        <w:t>PFOA soil to plant transfer factors, for plant categories not included in the ASC NEPM calculations, calculated from data in the listed data sources.</w:t>
      </w:r>
      <w:bookmarkEnd w:id="27"/>
      <w:r w:rsidRPr="00882A1C">
        <w:t xml:space="preserve"> </w:t>
      </w:r>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A soil to plant transfer factors"/>
        <w:tblDescription w:val="Table showing the PFOA transfer factors for various plant groups., along with the sources from which this data was dervied. Of all the plants shown, carrot calculated using a dry weight basis has the heighest transfer factor."/>
      </w:tblPr>
      <w:tblGrid>
        <w:gridCol w:w="1637"/>
        <w:gridCol w:w="1255"/>
        <w:gridCol w:w="2178"/>
        <w:gridCol w:w="1661"/>
        <w:gridCol w:w="2339"/>
      </w:tblGrid>
      <w:tr w:rsidR="00CD1095" w14:paraId="0970C346" w14:textId="77777777" w:rsidTr="00DB23E4">
        <w:trPr>
          <w:tblHeader/>
        </w:trPr>
        <w:tc>
          <w:tcPr>
            <w:tcW w:w="0" w:type="auto"/>
          </w:tcPr>
          <w:bookmarkEnd w:id="26"/>
          <w:p w14:paraId="24482E9E" w14:textId="77777777" w:rsidR="00CD1095" w:rsidRDefault="00CD1095" w:rsidP="00DB23E4">
            <w:pPr>
              <w:pStyle w:val="TableHeading"/>
            </w:pPr>
            <w:r>
              <w:t>Group</w:t>
            </w:r>
          </w:p>
        </w:tc>
        <w:tc>
          <w:tcPr>
            <w:tcW w:w="0" w:type="auto"/>
            <w:tcMar>
              <w:left w:w="108" w:type="dxa"/>
              <w:right w:w="108" w:type="dxa"/>
            </w:tcMar>
          </w:tcPr>
          <w:p w14:paraId="00312BB5" w14:textId="77777777" w:rsidR="00CD1095" w:rsidRDefault="00CD1095" w:rsidP="00DB23E4">
            <w:pPr>
              <w:pStyle w:val="TableHeading"/>
            </w:pPr>
            <w:r>
              <w:t>Plant</w:t>
            </w:r>
          </w:p>
        </w:tc>
        <w:tc>
          <w:tcPr>
            <w:tcW w:w="0" w:type="auto"/>
            <w:tcMar>
              <w:left w:w="108" w:type="dxa"/>
              <w:right w:w="108" w:type="dxa"/>
            </w:tcMar>
          </w:tcPr>
          <w:p w14:paraId="79667D17" w14:textId="54131388" w:rsidR="00CD1095" w:rsidRDefault="00CD1095" w:rsidP="00DB23E4">
            <w:pPr>
              <w:pStyle w:val="TableHeading"/>
            </w:pPr>
            <w:r>
              <w:t>PFO</w:t>
            </w:r>
            <w:r w:rsidR="00185777">
              <w:t>A</w:t>
            </w:r>
            <w:r>
              <w:t xml:space="preserve"> TF</w:t>
            </w:r>
          </w:p>
        </w:tc>
        <w:tc>
          <w:tcPr>
            <w:tcW w:w="0" w:type="auto"/>
            <w:tcMar>
              <w:left w:w="108" w:type="dxa"/>
              <w:right w:w="108" w:type="dxa"/>
            </w:tcMar>
          </w:tcPr>
          <w:p w14:paraId="6BD9E05A" w14:textId="77777777" w:rsidR="00CD1095" w:rsidRDefault="00CD1095" w:rsidP="00DB23E4">
            <w:pPr>
              <w:pStyle w:val="TableHeading"/>
            </w:pPr>
            <w:proofErr w:type="spellStart"/>
            <w:r>
              <w:t>Claculation</w:t>
            </w:r>
            <w:proofErr w:type="spellEnd"/>
            <w:r>
              <w:t xml:space="preserve"> basis</w:t>
            </w:r>
          </w:p>
        </w:tc>
        <w:tc>
          <w:tcPr>
            <w:tcW w:w="0" w:type="auto"/>
            <w:tcMar>
              <w:left w:w="108" w:type="dxa"/>
              <w:right w:w="108" w:type="dxa"/>
            </w:tcMar>
          </w:tcPr>
          <w:p w14:paraId="2080D4CF" w14:textId="77777777" w:rsidR="00CD1095" w:rsidRDefault="00CD1095" w:rsidP="00DB23E4">
            <w:pPr>
              <w:pStyle w:val="TableHeading"/>
            </w:pPr>
            <w:r>
              <w:t>Data source</w:t>
            </w:r>
          </w:p>
        </w:tc>
      </w:tr>
      <w:tr w:rsidR="00CD1095" w14:paraId="622512BB" w14:textId="77777777" w:rsidTr="00DB23E4">
        <w:trPr>
          <w:tblHeader/>
        </w:trPr>
        <w:tc>
          <w:tcPr>
            <w:tcW w:w="0" w:type="auto"/>
          </w:tcPr>
          <w:p w14:paraId="45FFFF24" w14:textId="77777777" w:rsidR="00CD1095" w:rsidRDefault="00CD1095" w:rsidP="00DB23E4">
            <w:pPr>
              <w:pStyle w:val="TableHeading"/>
            </w:pPr>
          </w:p>
        </w:tc>
        <w:tc>
          <w:tcPr>
            <w:tcW w:w="0" w:type="auto"/>
            <w:tcMar>
              <w:left w:w="108" w:type="dxa"/>
              <w:right w:w="108" w:type="dxa"/>
            </w:tcMar>
          </w:tcPr>
          <w:p w14:paraId="08EBD017" w14:textId="77777777" w:rsidR="00CD1095" w:rsidRDefault="00CD1095" w:rsidP="00DB23E4">
            <w:pPr>
              <w:pStyle w:val="TableHeading"/>
            </w:pPr>
          </w:p>
        </w:tc>
        <w:tc>
          <w:tcPr>
            <w:tcW w:w="0" w:type="auto"/>
            <w:tcMar>
              <w:left w:w="108" w:type="dxa"/>
              <w:right w:w="108" w:type="dxa"/>
            </w:tcMar>
          </w:tcPr>
          <w:p w14:paraId="599AA4D2" w14:textId="77777777" w:rsidR="00CD1095" w:rsidRDefault="00CD1095" w:rsidP="00DB23E4">
            <w:pPr>
              <w:pStyle w:val="TableHeading"/>
            </w:pPr>
            <w:r w:rsidRPr="00034554">
              <w:t>(mg/</w:t>
            </w:r>
            <w:proofErr w:type="spellStart"/>
            <w:r w:rsidRPr="00034554">
              <w:t>kg</w:t>
            </w:r>
            <w:r w:rsidRPr="00034554">
              <w:rPr>
                <w:vertAlign w:val="subscript"/>
              </w:rPr>
              <w:t>plant</w:t>
            </w:r>
            <w:proofErr w:type="spellEnd"/>
            <w:r w:rsidRPr="00034554">
              <w:t>)/(mg/</w:t>
            </w:r>
            <w:proofErr w:type="spellStart"/>
            <w:r w:rsidRPr="00034554">
              <w:t>kg</w:t>
            </w:r>
            <w:r w:rsidRPr="00034554">
              <w:rPr>
                <w:vertAlign w:val="subscript"/>
              </w:rPr>
              <w:t>soil</w:t>
            </w:r>
            <w:proofErr w:type="spellEnd"/>
            <w:r w:rsidRPr="00034554">
              <w:t>)</w:t>
            </w:r>
          </w:p>
        </w:tc>
        <w:tc>
          <w:tcPr>
            <w:tcW w:w="0" w:type="auto"/>
            <w:tcMar>
              <w:left w:w="108" w:type="dxa"/>
              <w:right w:w="108" w:type="dxa"/>
            </w:tcMar>
          </w:tcPr>
          <w:p w14:paraId="1CB1FB69" w14:textId="77777777" w:rsidR="00CD1095" w:rsidRPr="001678AD" w:rsidRDefault="00CD1095" w:rsidP="00DB23E4">
            <w:pPr>
              <w:pStyle w:val="TableHeading"/>
              <w:rPr>
                <w:vertAlign w:val="superscript"/>
              </w:rPr>
            </w:pPr>
            <w:r w:rsidRPr="00034554">
              <w:t>Plant DW or WW</w:t>
            </w:r>
            <w:r>
              <w:t xml:space="preserve"> </w:t>
            </w:r>
            <w:r>
              <w:rPr>
                <w:vertAlign w:val="superscript"/>
              </w:rPr>
              <w:t>a</w:t>
            </w:r>
          </w:p>
        </w:tc>
        <w:tc>
          <w:tcPr>
            <w:tcW w:w="0" w:type="auto"/>
            <w:tcMar>
              <w:left w:w="108" w:type="dxa"/>
              <w:right w:w="108" w:type="dxa"/>
            </w:tcMar>
          </w:tcPr>
          <w:p w14:paraId="7306ACEE" w14:textId="77777777" w:rsidR="00CD1095" w:rsidRDefault="00CD1095" w:rsidP="00DB23E4">
            <w:pPr>
              <w:pStyle w:val="TableHeading"/>
            </w:pPr>
          </w:p>
        </w:tc>
      </w:tr>
      <w:tr w:rsidR="00CD1095" w14:paraId="640688BE" w14:textId="77777777" w:rsidTr="00DB23E4">
        <w:tc>
          <w:tcPr>
            <w:tcW w:w="0" w:type="auto"/>
            <w:vMerge w:val="restart"/>
          </w:tcPr>
          <w:p w14:paraId="434C7BE8" w14:textId="77777777" w:rsidR="00CD1095" w:rsidRPr="00DA71B8" w:rsidRDefault="00CD1095" w:rsidP="00CD1095">
            <w:pPr>
              <w:pStyle w:val="TableText0"/>
            </w:pPr>
            <w:r>
              <w:t>Vegetative parts DW</w:t>
            </w:r>
          </w:p>
        </w:tc>
        <w:tc>
          <w:tcPr>
            <w:tcW w:w="0" w:type="auto"/>
            <w:tcMar>
              <w:left w:w="108" w:type="dxa"/>
              <w:right w:w="108" w:type="dxa"/>
            </w:tcMar>
          </w:tcPr>
          <w:p w14:paraId="683A434D" w14:textId="098D725D" w:rsidR="00CD1095" w:rsidRDefault="00CD1095" w:rsidP="00CD1095">
            <w:pPr>
              <w:pStyle w:val="TableText0"/>
            </w:pPr>
            <w:r w:rsidRPr="00325B0D">
              <w:rPr>
                <w:rFonts w:cstheme="minorHAnsi"/>
                <w:sz w:val="20"/>
                <w:szCs w:val="20"/>
              </w:rPr>
              <w:t>Alfalfa</w:t>
            </w:r>
          </w:p>
        </w:tc>
        <w:tc>
          <w:tcPr>
            <w:tcW w:w="0" w:type="auto"/>
            <w:tcMar>
              <w:left w:w="108" w:type="dxa"/>
              <w:right w:w="108" w:type="dxa"/>
            </w:tcMar>
          </w:tcPr>
          <w:p w14:paraId="1E34E0E1" w14:textId="62907C1F" w:rsidR="00CD1095" w:rsidRDefault="00CD1095" w:rsidP="00CD1095">
            <w:pPr>
              <w:pStyle w:val="TableText0"/>
            </w:pPr>
            <w:r w:rsidRPr="00325B0D">
              <w:rPr>
                <w:rFonts w:cstheme="minorHAnsi"/>
                <w:sz w:val="20"/>
                <w:szCs w:val="20"/>
              </w:rPr>
              <w:t>3.2</w:t>
            </w:r>
          </w:p>
        </w:tc>
        <w:tc>
          <w:tcPr>
            <w:tcW w:w="0" w:type="auto"/>
            <w:tcMar>
              <w:left w:w="108" w:type="dxa"/>
              <w:right w:w="108" w:type="dxa"/>
            </w:tcMar>
          </w:tcPr>
          <w:p w14:paraId="6DA3CD89" w14:textId="216A9AC2"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4010EAA5" w14:textId="06EC102E" w:rsidR="00CD1095" w:rsidRDefault="00CD1095" w:rsidP="00CD1095">
            <w:pPr>
              <w:pStyle w:val="TableText0"/>
            </w:pPr>
            <w:r w:rsidRPr="00325B0D">
              <w:rPr>
                <w:rFonts w:cstheme="minorHAnsi"/>
                <w:sz w:val="20"/>
                <w:szCs w:val="20"/>
              </w:rPr>
              <w:t>Wen et al. 2016</w:t>
            </w:r>
          </w:p>
        </w:tc>
      </w:tr>
      <w:tr w:rsidR="00CD1095" w14:paraId="2F8461AF" w14:textId="77777777" w:rsidTr="00DB23E4">
        <w:tc>
          <w:tcPr>
            <w:tcW w:w="0" w:type="auto"/>
            <w:vMerge/>
          </w:tcPr>
          <w:p w14:paraId="69B8C1D4" w14:textId="77777777" w:rsidR="00CD1095" w:rsidRPr="00DA71B8" w:rsidRDefault="00CD1095" w:rsidP="00CD1095">
            <w:pPr>
              <w:pStyle w:val="TableText0"/>
            </w:pPr>
          </w:p>
        </w:tc>
        <w:tc>
          <w:tcPr>
            <w:tcW w:w="0" w:type="auto"/>
            <w:tcMar>
              <w:left w:w="108" w:type="dxa"/>
              <w:right w:w="108" w:type="dxa"/>
            </w:tcMar>
          </w:tcPr>
          <w:p w14:paraId="6FF0D5ED" w14:textId="03C7CA23" w:rsidR="00CD1095" w:rsidRDefault="00CD1095" w:rsidP="00CD1095">
            <w:pPr>
              <w:pStyle w:val="TableText0"/>
            </w:pPr>
            <w:r w:rsidRPr="00325B0D">
              <w:rPr>
                <w:rFonts w:cstheme="minorHAnsi"/>
                <w:sz w:val="20"/>
                <w:szCs w:val="20"/>
              </w:rPr>
              <w:t>Alfalfa</w:t>
            </w:r>
          </w:p>
        </w:tc>
        <w:tc>
          <w:tcPr>
            <w:tcW w:w="0" w:type="auto"/>
            <w:tcMar>
              <w:left w:w="108" w:type="dxa"/>
              <w:right w:w="108" w:type="dxa"/>
            </w:tcMar>
          </w:tcPr>
          <w:p w14:paraId="054BE53B" w14:textId="4631A83E" w:rsidR="00CD1095" w:rsidRDefault="00CD1095" w:rsidP="00CD1095">
            <w:pPr>
              <w:pStyle w:val="TableText0"/>
            </w:pPr>
            <w:r w:rsidRPr="00325B0D">
              <w:rPr>
                <w:rFonts w:cstheme="minorHAnsi"/>
                <w:sz w:val="20"/>
                <w:szCs w:val="20"/>
              </w:rPr>
              <w:t>10</w:t>
            </w:r>
          </w:p>
        </w:tc>
        <w:tc>
          <w:tcPr>
            <w:tcW w:w="0" w:type="auto"/>
            <w:tcMar>
              <w:left w:w="108" w:type="dxa"/>
              <w:right w:w="108" w:type="dxa"/>
            </w:tcMar>
          </w:tcPr>
          <w:p w14:paraId="4BA5ACEC" w14:textId="5ACD4E95"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2DE7C52F" w14:textId="4318A89B" w:rsidR="00CD1095" w:rsidRDefault="00CD1095" w:rsidP="00CD1095">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CD1095" w14:paraId="5A42E243" w14:textId="77777777" w:rsidTr="00DB23E4">
        <w:tc>
          <w:tcPr>
            <w:tcW w:w="0" w:type="auto"/>
            <w:vMerge/>
          </w:tcPr>
          <w:p w14:paraId="04A4469A" w14:textId="77777777" w:rsidR="00CD1095" w:rsidRPr="00DA71B8" w:rsidRDefault="00CD1095" w:rsidP="00CD1095">
            <w:pPr>
              <w:pStyle w:val="TableText0"/>
            </w:pPr>
          </w:p>
        </w:tc>
        <w:tc>
          <w:tcPr>
            <w:tcW w:w="0" w:type="auto"/>
            <w:tcMar>
              <w:left w:w="108" w:type="dxa"/>
              <w:right w:w="108" w:type="dxa"/>
            </w:tcMar>
          </w:tcPr>
          <w:p w14:paraId="2D35351F" w14:textId="0C5BB18D" w:rsidR="00CD1095" w:rsidRDefault="00CD1095" w:rsidP="00CD1095">
            <w:pPr>
              <w:pStyle w:val="TableText0"/>
            </w:pPr>
            <w:r w:rsidRPr="00325B0D">
              <w:rPr>
                <w:rFonts w:cstheme="minorHAnsi"/>
                <w:sz w:val="20"/>
                <w:szCs w:val="20"/>
              </w:rPr>
              <w:t>Carrot</w:t>
            </w:r>
          </w:p>
        </w:tc>
        <w:tc>
          <w:tcPr>
            <w:tcW w:w="0" w:type="auto"/>
            <w:tcMar>
              <w:left w:w="108" w:type="dxa"/>
              <w:right w:w="108" w:type="dxa"/>
            </w:tcMar>
          </w:tcPr>
          <w:p w14:paraId="6D43C26C" w14:textId="6EE57518" w:rsidR="00CD1095" w:rsidRDefault="00CD1095" w:rsidP="00CD1095">
            <w:pPr>
              <w:pStyle w:val="TableText0"/>
            </w:pPr>
            <w:r w:rsidRPr="00325B0D">
              <w:rPr>
                <w:rFonts w:cstheme="minorHAnsi"/>
                <w:sz w:val="20"/>
                <w:szCs w:val="20"/>
              </w:rPr>
              <w:t xml:space="preserve">1.1 </w:t>
            </w:r>
            <w:r w:rsidRPr="00325B0D">
              <w:rPr>
                <w:rFonts w:cs="Arial"/>
                <w:sz w:val="20"/>
                <w:szCs w:val="20"/>
              </w:rPr>
              <w:t>–</w:t>
            </w:r>
            <w:r w:rsidRPr="00325B0D">
              <w:rPr>
                <w:rFonts w:cstheme="minorHAnsi"/>
                <w:sz w:val="20"/>
                <w:szCs w:val="20"/>
              </w:rPr>
              <w:t xml:space="preserve"> 3.1</w:t>
            </w:r>
          </w:p>
        </w:tc>
        <w:tc>
          <w:tcPr>
            <w:tcW w:w="0" w:type="auto"/>
            <w:tcMar>
              <w:left w:w="108" w:type="dxa"/>
              <w:right w:w="108" w:type="dxa"/>
            </w:tcMar>
          </w:tcPr>
          <w:p w14:paraId="5B86931B" w14:textId="2BE6BDC2"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54C665F9" w14:textId="04ADB185" w:rsidR="00CD1095" w:rsidRDefault="00CD1095" w:rsidP="00CD1095">
            <w:pPr>
              <w:pStyle w:val="TableText0"/>
            </w:pPr>
            <w:proofErr w:type="spellStart"/>
            <w:r w:rsidRPr="00325B0D">
              <w:rPr>
                <w:rFonts w:cstheme="minorHAnsi"/>
                <w:sz w:val="20"/>
                <w:szCs w:val="20"/>
              </w:rPr>
              <w:t>Bizkarguenaga</w:t>
            </w:r>
            <w:proofErr w:type="spellEnd"/>
            <w:r w:rsidRPr="00325B0D">
              <w:rPr>
                <w:rFonts w:cstheme="minorHAnsi"/>
                <w:sz w:val="20"/>
                <w:szCs w:val="20"/>
              </w:rPr>
              <w:t xml:space="preserve"> et al. 2016</w:t>
            </w:r>
          </w:p>
        </w:tc>
      </w:tr>
      <w:tr w:rsidR="00CD1095" w14:paraId="038E0109" w14:textId="77777777" w:rsidTr="00DB23E4">
        <w:tc>
          <w:tcPr>
            <w:tcW w:w="0" w:type="auto"/>
            <w:vMerge/>
          </w:tcPr>
          <w:p w14:paraId="52EF1841" w14:textId="77777777" w:rsidR="00CD1095" w:rsidRPr="00DA71B8" w:rsidRDefault="00CD1095" w:rsidP="00CD1095">
            <w:pPr>
              <w:pStyle w:val="TableText0"/>
            </w:pPr>
          </w:p>
        </w:tc>
        <w:tc>
          <w:tcPr>
            <w:tcW w:w="0" w:type="auto"/>
            <w:tcMar>
              <w:left w:w="108" w:type="dxa"/>
              <w:right w:w="108" w:type="dxa"/>
            </w:tcMar>
          </w:tcPr>
          <w:p w14:paraId="39824F61" w14:textId="439A0332" w:rsidR="00CD1095" w:rsidRDefault="00CD1095" w:rsidP="00CD1095">
            <w:pPr>
              <w:pStyle w:val="TableText0"/>
            </w:pPr>
            <w:r w:rsidRPr="00325B0D">
              <w:rPr>
                <w:rFonts w:cstheme="minorHAnsi"/>
                <w:sz w:val="20"/>
                <w:szCs w:val="20"/>
              </w:rPr>
              <w:t>Carrot</w:t>
            </w:r>
          </w:p>
        </w:tc>
        <w:tc>
          <w:tcPr>
            <w:tcW w:w="0" w:type="auto"/>
            <w:tcMar>
              <w:left w:w="108" w:type="dxa"/>
              <w:right w:w="108" w:type="dxa"/>
            </w:tcMar>
          </w:tcPr>
          <w:p w14:paraId="572C06F1" w14:textId="7C2E44D3" w:rsidR="00CD1095" w:rsidRDefault="00CD1095" w:rsidP="00CD1095">
            <w:pPr>
              <w:pStyle w:val="TableText0"/>
            </w:pPr>
            <w:r w:rsidRPr="00325B0D">
              <w:rPr>
                <w:rFonts w:cstheme="minorHAnsi"/>
                <w:sz w:val="20"/>
                <w:szCs w:val="20"/>
              </w:rPr>
              <w:t>54</w:t>
            </w:r>
          </w:p>
        </w:tc>
        <w:tc>
          <w:tcPr>
            <w:tcW w:w="0" w:type="auto"/>
            <w:tcMar>
              <w:left w:w="108" w:type="dxa"/>
              <w:right w:w="108" w:type="dxa"/>
            </w:tcMar>
          </w:tcPr>
          <w:p w14:paraId="4F132910" w14:textId="7D67386D"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2D1B18AA" w14:textId="3E6D6A55" w:rsidR="00CD1095" w:rsidRDefault="00CD1095" w:rsidP="00CD1095">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CD1095" w14:paraId="162DA469" w14:textId="77777777" w:rsidTr="00DB23E4">
        <w:tc>
          <w:tcPr>
            <w:tcW w:w="0" w:type="auto"/>
            <w:vMerge/>
          </w:tcPr>
          <w:p w14:paraId="79CA707C" w14:textId="77777777" w:rsidR="00CD1095" w:rsidRPr="00DA71B8" w:rsidRDefault="00CD1095" w:rsidP="00CD1095">
            <w:pPr>
              <w:pStyle w:val="TableText0"/>
            </w:pPr>
          </w:p>
        </w:tc>
        <w:tc>
          <w:tcPr>
            <w:tcW w:w="0" w:type="auto"/>
            <w:tcMar>
              <w:left w:w="108" w:type="dxa"/>
              <w:right w:w="108" w:type="dxa"/>
            </w:tcMar>
          </w:tcPr>
          <w:p w14:paraId="664A4A6B" w14:textId="1E3BBB0A" w:rsidR="00CD1095" w:rsidRDefault="00CD1095" w:rsidP="00CD1095">
            <w:pPr>
              <w:pStyle w:val="TableText0"/>
            </w:pPr>
            <w:r w:rsidRPr="00325B0D">
              <w:rPr>
                <w:rFonts w:cstheme="minorHAnsi"/>
                <w:sz w:val="20"/>
                <w:szCs w:val="20"/>
              </w:rPr>
              <w:t>Cucumber</w:t>
            </w:r>
          </w:p>
        </w:tc>
        <w:tc>
          <w:tcPr>
            <w:tcW w:w="0" w:type="auto"/>
            <w:tcMar>
              <w:left w:w="108" w:type="dxa"/>
              <w:right w:w="108" w:type="dxa"/>
            </w:tcMar>
          </w:tcPr>
          <w:p w14:paraId="4B15D0FF" w14:textId="67B48757" w:rsidR="00CD1095" w:rsidRDefault="00CD1095" w:rsidP="00CD1095">
            <w:pPr>
              <w:pStyle w:val="TableText0"/>
            </w:pPr>
            <w:r w:rsidRPr="00325B0D">
              <w:rPr>
                <w:rFonts w:cstheme="minorHAnsi"/>
                <w:sz w:val="20"/>
                <w:szCs w:val="20"/>
              </w:rPr>
              <w:t>0.2 – 0.4</w:t>
            </w:r>
          </w:p>
        </w:tc>
        <w:tc>
          <w:tcPr>
            <w:tcW w:w="0" w:type="auto"/>
            <w:tcMar>
              <w:left w:w="108" w:type="dxa"/>
              <w:right w:w="108" w:type="dxa"/>
            </w:tcMar>
          </w:tcPr>
          <w:p w14:paraId="1EFFB695" w14:textId="3A55496E"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530C33D7" w14:textId="085892A7" w:rsidR="00CD1095" w:rsidRDefault="00CD1095" w:rsidP="00CD1095">
            <w:pPr>
              <w:pStyle w:val="TableText0"/>
            </w:pPr>
            <w:proofErr w:type="spellStart"/>
            <w:r w:rsidRPr="00325B0D">
              <w:rPr>
                <w:rFonts w:cstheme="minorHAnsi"/>
                <w:sz w:val="20"/>
                <w:szCs w:val="20"/>
              </w:rPr>
              <w:t>Moshfeghi</w:t>
            </w:r>
            <w:proofErr w:type="spellEnd"/>
            <w:r w:rsidRPr="00325B0D">
              <w:rPr>
                <w:rFonts w:cstheme="minorHAnsi"/>
                <w:sz w:val="20"/>
                <w:szCs w:val="20"/>
              </w:rPr>
              <w:t xml:space="preserve"> 2015</w:t>
            </w:r>
          </w:p>
        </w:tc>
      </w:tr>
      <w:tr w:rsidR="00CD1095" w14:paraId="46450FEA" w14:textId="77777777" w:rsidTr="00DB23E4">
        <w:tc>
          <w:tcPr>
            <w:tcW w:w="0" w:type="auto"/>
            <w:vMerge/>
          </w:tcPr>
          <w:p w14:paraId="700919CC" w14:textId="77777777" w:rsidR="00CD1095" w:rsidRPr="00DA71B8" w:rsidRDefault="00CD1095" w:rsidP="00CD1095">
            <w:pPr>
              <w:pStyle w:val="TableText0"/>
            </w:pPr>
          </w:p>
        </w:tc>
        <w:tc>
          <w:tcPr>
            <w:tcW w:w="0" w:type="auto"/>
            <w:tcMar>
              <w:left w:w="108" w:type="dxa"/>
              <w:right w:w="108" w:type="dxa"/>
            </w:tcMar>
          </w:tcPr>
          <w:p w14:paraId="282F9628" w14:textId="6EE02652" w:rsidR="00CD1095" w:rsidRDefault="00CD1095" w:rsidP="00CD1095">
            <w:pPr>
              <w:pStyle w:val="TableText0"/>
            </w:pPr>
            <w:r w:rsidRPr="00325B0D">
              <w:rPr>
                <w:rFonts w:cstheme="minorHAnsi"/>
                <w:sz w:val="20"/>
                <w:szCs w:val="20"/>
              </w:rPr>
              <w:t>Maize</w:t>
            </w:r>
          </w:p>
        </w:tc>
        <w:tc>
          <w:tcPr>
            <w:tcW w:w="0" w:type="auto"/>
            <w:tcMar>
              <w:left w:w="108" w:type="dxa"/>
              <w:right w:w="108" w:type="dxa"/>
            </w:tcMar>
          </w:tcPr>
          <w:p w14:paraId="44A03780" w14:textId="15FF9726" w:rsidR="00CD1095" w:rsidRDefault="00CD1095" w:rsidP="00CD1095">
            <w:pPr>
              <w:pStyle w:val="TableText0"/>
            </w:pPr>
            <w:r w:rsidRPr="00325B0D">
              <w:rPr>
                <w:rFonts w:cstheme="minorHAnsi"/>
                <w:sz w:val="20"/>
                <w:szCs w:val="20"/>
              </w:rPr>
              <w:t xml:space="preserve">0.1 </w:t>
            </w:r>
            <w:r w:rsidRPr="00325B0D">
              <w:rPr>
                <w:rFonts w:cs="Arial"/>
                <w:sz w:val="20"/>
                <w:szCs w:val="20"/>
              </w:rPr>
              <w:t>–</w:t>
            </w:r>
            <w:r w:rsidRPr="00325B0D">
              <w:rPr>
                <w:rFonts w:cstheme="minorHAnsi"/>
                <w:sz w:val="20"/>
                <w:szCs w:val="20"/>
              </w:rPr>
              <w:t xml:space="preserve"> 0.3</w:t>
            </w:r>
          </w:p>
        </w:tc>
        <w:tc>
          <w:tcPr>
            <w:tcW w:w="0" w:type="auto"/>
            <w:tcMar>
              <w:left w:w="108" w:type="dxa"/>
              <w:right w:w="108" w:type="dxa"/>
            </w:tcMar>
          </w:tcPr>
          <w:p w14:paraId="517E0177" w14:textId="4C2C447E"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6A0B1582" w14:textId="6573BF6B" w:rsidR="00CD1095" w:rsidRDefault="00CD1095" w:rsidP="00CD1095">
            <w:pPr>
              <w:pStyle w:val="TableText0"/>
            </w:pPr>
            <w:r w:rsidRPr="00325B0D">
              <w:rPr>
                <w:rFonts w:cstheme="minorHAnsi"/>
                <w:sz w:val="20"/>
                <w:szCs w:val="20"/>
              </w:rPr>
              <w:t>Stahl et al. 2009</w:t>
            </w:r>
          </w:p>
        </w:tc>
      </w:tr>
      <w:tr w:rsidR="00CD1095" w14:paraId="408F3F16" w14:textId="77777777" w:rsidTr="00DB23E4">
        <w:tc>
          <w:tcPr>
            <w:tcW w:w="0" w:type="auto"/>
            <w:vMerge/>
          </w:tcPr>
          <w:p w14:paraId="62806F3A" w14:textId="77777777" w:rsidR="00CD1095" w:rsidRPr="00DA71B8" w:rsidRDefault="00CD1095" w:rsidP="00CD1095">
            <w:pPr>
              <w:pStyle w:val="TableText0"/>
            </w:pPr>
          </w:p>
        </w:tc>
        <w:tc>
          <w:tcPr>
            <w:tcW w:w="0" w:type="auto"/>
            <w:tcMar>
              <w:left w:w="108" w:type="dxa"/>
              <w:right w:w="108" w:type="dxa"/>
            </w:tcMar>
          </w:tcPr>
          <w:p w14:paraId="7438017F" w14:textId="5F96D4EE" w:rsidR="00CD1095" w:rsidRDefault="00CD1095" w:rsidP="00CD1095">
            <w:pPr>
              <w:pStyle w:val="TableText0"/>
            </w:pPr>
            <w:r w:rsidRPr="00325B0D">
              <w:rPr>
                <w:rFonts w:cstheme="minorHAnsi"/>
                <w:sz w:val="20"/>
                <w:szCs w:val="20"/>
              </w:rPr>
              <w:t>Maize</w:t>
            </w:r>
          </w:p>
        </w:tc>
        <w:tc>
          <w:tcPr>
            <w:tcW w:w="0" w:type="auto"/>
            <w:tcMar>
              <w:left w:w="108" w:type="dxa"/>
              <w:right w:w="108" w:type="dxa"/>
            </w:tcMar>
          </w:tcPr>
          <w:p w14:paraId="239E67E3" w14:textId="42BF6977" w:rsidR="00CD1095" w:rsidRDefault="00CD1095" w:rsidP="00CD1095">
            <w:pPr>
              <w:pStyle w:val="TableText0"/>
            </w:pPr>
            <w:r w:rsidRPr="00325B0D">
              <w:rPr>
                <w:rFonts w:cstheme="minorHAnsi"/>
                <w:sz w:val="20"/>
                <w:szCs w:val="20"/>
              </w:rPr>
              <w:t>0.2</w:t>
            </w:r>
          </w:p>
        </w:tc>
        <w:tc>
          <w:tcPr>
            <w:tcW w:w="0" w:type="auto"/>
            <w:tcMar>
              <w:left w:w="108" w:type="dxa"/>
              <w:right w:w="108" w:type="dxa"/>
            </w:tcMar>
          </w:tcPr>
          <w:p w14:paraId="0F0447F5" w14:textId="11F7F3FC"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32494956" w14:textId="6FC5ED7F" w:rsidR="00CD1095" w:rsidRDefault="00CD1095" w:rsidP="00CD1095">
            <w:pPr>
              <w:pStyle w:val="TableText0"/>
            </w:pPr>
            <w:r w:rsidRPr="00325B0D">
              <w:rPr>
                <w:rFonts w:cstheme="minorHAnsi"/>
                <w:sz w:val="20"/>
                <w:szCs w:val="20"/>
              </w:rPr>
              <w:t>Wen et al. 2016</w:t>
            </w:r>
          </w:p>
        </w:tc>
      </w:tr>
      <w:tr w:rsidR="00CD1095" w14:paraId="352F65FD" w14:textId="77777777" w:rsidTr="00DB23E4">
        <w:tc>
          <w:tcPr>
            <w:tcW w:w="0" w:type="auto"/>
            <w:vMerge/>
          </w:tcPr>
          <w:p w14:paraId="5273F679" w14:textId="77777777" w:rsidR="00CD1095" w:rsidRPr="00DA71B8" w:rsidRDefault="00CD1095" w:rsidP="00CD1095">
            <w:pPr>
              <w:pStyle w:val="TableText0"/>
            </w:pPr>
          </w:p>
        </w:tc>
        <w:tc>
          <w:tcPr>
            <w:tcW w:w="0" w:type="auto"/>
            <w:tcMar>
              <w:left w:w="108" w:type="dxa"/>
              <w:right w:w="108" w:type="dxa"/>
            </w:tcMar>
          </w:tcPr>
          <w:p w14:paraId="45C364BC" w14:textId="6C3B9920" w:rsidR="00CD1095" w:rsidRDefault="00CD1095" w:rsidP="00CD1095">
            <w:pPr>
              <w:pStyle w:val="TableText0"/>
            </w:pPr>
            <w:r w:rsidRPr="00325B0D">
              <w:rPr>
                <w:rFonts w:cstheme="minorHAnsi"/>
                <w:sz w:val="20"/>
                <w:szCs w:val="20"/>
              </w:rPr>
              <w:t>Mung bean</w:t>
            </w:r>
          </w:p>
        </w:tc>
        <w:tc>
          <w:tcPr>
            <w:tcW w:w="0" w:type="auto"/>
            <w:tcMar>
              <w:left w:w="108" w:type="dxa"/>
              <w:right w:w="108" w:type="dxa"/>
            </w:tcMar>
          </w:tcPr>
          <w:p w14:paraId="73FC65E6" w14:textId="357462F9" w:rsidR="00CD1095" w:rsidRDefault="00CD1095" w:rsidP="00CD1095">
            <w:pPr>
              <w:pStyle w:val="TableText0"/>
            </w:pPr>
            <w:r w:rsidRPr="00325B0D">
              <w:rPr>
                <w:rFonts w:cstheme="minorHAnsi"/>
                <w:sz w:val="20"/>
                <w:szCs w:val="20"/>
              </w:rPr>
              <w:t>8.4</w:t>
            </w:r>
          </w:p>
        </w:tc>
        <w:tc>
          <w:tcPr>
            <w:tcW w:w="0" w:type="auto"/>
            <w:tcMar>
              <w:left w:w="108" w:type="dxa"/>
              <w:right w:w="108" w:type="dxa"/>
            </w:tcMar>
          </w:tcPr>
          <w:p w14:paraId="34DE0E15" w14:textId="7264FC7A"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45CF1A43" w14:textId="79CC7528" w:rsidR="00CD1095" w:rsidRDefault="00CD1095" w:rsidP="00CD1095">
            <w:pPr>
              <w:pStyle w:val="TableText0"/>
            </w:pPr>
            <w:r w:rsidRPr="00325B0D">
              <w:rPr>
                <w:rFonts w:cstheme="minorHAnsi"/>
                <w:sz w:val="20"/>
                <w:szCs w:val="20"/>
              </w:rPr>
              <w:t>Wen et al. 2016</w:t>
            </w:r>
          </w:p>
        </w:tc>
      </w:tr>
      <w:tr w:rsidR="00CD1095" w14:paraId="33783354" w14:textId="77777777" w:rsidTr="00DB23E4">
        <w:tc>
          <w:tcPr>
            <w:tcW w:w="0" w:type="auto"/>
            <w:vMerge/>
          </w:tcPr>
          <w:p w14:paraId="76687918" w14:textId="77777777" w:rsidR="00CD1095" w:rsidRPr="00DA71B8" w:rsidRDefault="00CD1095" w:rsidP="00CD1095">
            <w:pPr>
              <w:pStyle w:val="TableText0"/>
            </w:pPr>
          </w:p>
        </w:tc>
        <w:tc>
          <w:tcPr>
            <w:tcW w:w="0" w:type="auto"/>
            <w:tcMar>
              <w:left w:w="108" w:type="dxa"/>
              <w:right w:w="108" w:type="dxa"/>
            </w:tcMar>
          </w:tcPr>
          <w:p w14:paraId="20FA73EC" w14:textId="1F0E5F41" w:rsidR="00CD1095" w:rsidRDefault="00CD1095" w:rsidP="00CD1095">
            <w:pPr>
              <w:pStyle w:val="TableText0"/>
            </w:pPr>
            <w:r w:rsidRPr="00325B0D">
              <w:rPr>
                <w:rFonts w:cstheme="minorHAnsi"/>
                <w:sz w:val="20"/>
                <w:szCs w:val="20"/>
              </w:rPr>
              <w:t>Oats</w:t>
            </w:r>
          </w:p>
        </w:tc>
        <w:tc>
          <w:tcPr>
            <w:tcW w:w="0" w:type="auto"/>
            <w:tcMar>
              <w:left w:w="108" w:type="dxa"/>
              <w:right w:w="108" w:type="dxa"/>
            </w:tcMar>
          </w:tcPr>
          <w:p w14:paraId="433DF548" w14:textId="28996ECF" w:rsidR="00CD1095" w:rsidRDefault="00CD1095" w:rsidP="00CD1095">
            <w:pPr>
              <w:pStyle w:val="TableText0"/>
            </w:pPr>
            <w:r w:rsidRPr="00325B0D">
              <w:rPr>
                <w:rFonts w:cstheme="minorHAnsi"/>
                <w:sz w:val="20"/>
                <w:szCs w:val="20"/>
              </w:rPr>
              <w:t>0.2 - 4.3</w:t>
            </w:r>
          </w:p>
        </w:tc>
        <w:tc>
          <w:tcPr>
            <w:tcW w:w="0" w:type="auto"/>
            <w:tcMar>
              <w:left w:w="108" w:type="dxa"/>
              <w:right w:w="108" w:type="dxa"/>
            </w:tcMar>
          </w:tcPr>
          <w:p w14:paraId="3AF7AF1C" w14:textId="36020F97"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4B05AAD9" w14:textId="574DC90D" w:rsidR="00CD1095" w:rsidRDefault="00CD1095" w:rsidP="00CD1095">
            <w:pPr>
              <w:pStyle w:val="TableText0"/>
            </w:pPr>
            <w:r w:rsidRPr="00325B0D">
              <w:rPr>
                <w:rFonts w:cstheme="minorHAnsi"/>
                <w:sz w:val="20"/>
                <w:szCs w:val="20"/>
              </w:rPr>
              <w:t>Stahl et al. 2009</w:t>
            </w:r>
          </w:p>
        </w:tc>
      </w:tr>
      <w:tr w:rsidR="00CD1095" w14:paraId="7BEB4964" w14:textId="77777777" w:rsidTr="00DB23E4">
        <w:tc>
          <w:tcPr>
            <w:tcW w:w="0" w:type="auto"/>
            <w:vMerge/>
          </w:tcPr>
          <w:p w14:paraId="2555F7F5" w14:textId="77777777" w:rsidR="00CD1095" w:rsidRPr="00DA71B8" w:rsidRDefault="00CD1095" w:rsidP="00CD1095">
            <w:pPr>
              <w:pStyle w:val="TableText0"/>
            </w:pPr>
          </w:p>
        </w:tc>
        <w:tc>
          <w:tcPr>
            <w:tcW w:w="0" w:type="auto"/>
            <w:tcMar>
              <w:left w:w="108" w:type="dxa"/>
              <w:right w:w="108" w:type="dxa"/>
            </w:tcMar>
          </w:tcPr>
          <w:p w14:paraId="6E162EB1" w14:textId="1650044D" w:rsidR="00CD1095" w:rsidRDefault="00CD1095" w:rsidP="00CD1095">
            <w:pPr>
              <w:pStyle w:val="TableText0"/>
            </w:pPr>
            <w:r w:rsidRPr="00325B0D">
              <w:rPr>
                <w:rFonts w:cstheme="minorHAnsi"/>
                <w:sz w:val="20"/>
                <w:szCs w:val="20"/>
              </w:rPr>
              <w:t>Radish</w:t>
            </w:r>
          </w:p>
        </w:tc>
        <w:tc>
          <w:tcPr>
            <w:tcW w:w="0" w:type="auto"/>
            <w:tcMar>
              <w:left w:w="108" w:type="dxa"/>
              <w:right w:w="108" w:type="dxa"/>
            </w:tcMar>
          </w:tcPr>
          <w:p w14:paraId="640A4172" w14:textId="20F4EC9D" w:rsidR="00CD1095" w:rsidRDefault="00CD1095" w:rsidP="00CD1095">
            <w:pPr>
              <w:pStyle w:val="TableText0"/>
            </w:pPr>
            <w:r w:rsidRPr="00325B0D">
              <w:rPr>
                <w:rFonts w:cstheme="minorHAnsi"/>
                <w:sz w:val="20"/>
                <w:szCs w:val="20"/>
              </w:rPr>
              <w:t>5.3</w:t>
            </w:r>
          </w:p>
        </w:tc>
        <w:tc>
          <w:tcPr>
            <w:tcW w:w="0" w:type="auto"/>
            <w:tcMar>
              <w:left w:w="108" w:type="dxa"/>
              <w:right w:w="108" w:type="dxa"/>
            </w:tcMar>
          </w:tcPr>
          <w:p w14:paraId="787DAA12" w14:textId="2146108B"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07F277D1" w14:textId="3EE88754" w:rsidR="00CD1095" w:rsidRDefault="00CD1095" w:rsidP="00CD1095">
            <w:pPr>
              <w:pStyle w:val="TableText0"/>
            </w:pPr>
            <w:r w:rsidRPr="00325B0D">
              <w:rPr>
                <w:rFonts w:cstheme="minorHAnsi"/>
                <w:sz w:val="20"/>
                <w:szCs w:val="20"/>
              </w:rPr>
              <w:t>Wen et al. 2016</w:t>
            </w:r>
          </w:p>
        </w:tc>
      </w:tr>
      <w:tr w:rsidR="00CD1095" w14:paraId="329ECF0B" w14:textId="77777777" w:rsidTr="00DB23E4">
        <w:tc>
          <w:tcPr>
            <w:tcW w:w="0" w:type="auto"/>
            <w:vMerge/>
          </w:tcPr>
          <w:p w14:paraId="0C6B7193" w14:textId="77777777" w:rsidR="00CD1095" w:rsidRPr="00DA71B8" w:rsidRDefault="00CD1095" w:rsidP="00CD1095">
            <w:pPr>
              <w:pStyle w:val="TableText0"/>
            </w:pPr>
          </w:p>
        </w:tc>
        <w:tc>
          <w:tcPr>
            <w:tcW w:w="0" w:type="auto"/>
            <w:tcMar>
              <w:left w:w="108" w:type="dxa"/>
              <w:right w:w="108" w:type="dxa"/>
            </w:tcMar>
          </w:tcPr>
          <w:p w14:paraId="10F0CBC7" w14:textId="04EFCFD1" w:rsidR="00CD1095" w:rsidRDefault="00CD1095" w:rsidP="00CD1095">
            <w:pPr>
              <w:pStyle w:val="TableText0"/>
            </w:pPr>
            <w:r w:rsidRPr="00325B0D">
              <w:rPr>
                <w:rFonts w:cstheme="minorHAnsi"/>
                <w:sz w:val="20"/>
                <w:szCs w:val="20"/>
              </w:rPr>
              <w:t>Radish</w:t>
            </w:r>
          </w:p>
        </w:tc>
        <w:tc>
          <w:tcPr>
            <w:tcW w:w="0" w:type="auto"/>
            <w:tcMar>
              <w:left w:w="108" w:type="dxa"/>
              <w:right w:w="108" w:type="dxa"/>
            </w:tcMar>
          </w:tcPr>
          <w:p w14:paraId="00C64DB0" w14:textId="6283FB9A" w:rsidR="00CD1095" w:rsidRDefault="00CD1095" w:rsidP="00CD1095">
            <w:pPr>
              <w:pStyle w:val="TableText0"/>
            </w:pPr>
            <w:r w:rsidRPr="00325B0D">
              <w:rPr>
                <w:rFonts w:cstheme="minorHAnsi"/>
                <w:sz w:val="20"/>
                <w:szCs w:val="20"/>
              </w:rPr>
              <w:t>47</w:t>
            </w:r>
          </w:p>
        </w:tc>
        <w:tc>
          <w:tcPr>
            <w:tcW w:w="0" w:type="auto"/>
            <w:tcMar>
              <w:left w:w="108" w:type="dxa"/>
              <w:right w:w="108" w:type="dxa"/>
            </w:tcMar>
          </w:tcPr>
          <w:p w14:paraId="529F1BD9" w14:textId="5E34FB95" w:rsidR="00CD1095" w:rsidRDefault="00CD1095" w:rsidP="00CD1095">
            <w:pPr>
              <w:pStyle w:val="TableText0"/>
            </w:pPr>
            <w:r w:rsidRPr="00325B0D">
              <w:rPr>
                <w:rFonts w:cstheme="minorHAnsi"/>
                <w:sz w:val="20"/>
                <w:szCs w:val="20"/>
              </w:rPr>
              <w:t>DW</w:t>
            </w:r>
          </w:p>
        </w:tc>
        <w:tc>
          <w:tcPr>
            <w:tcW w:w="0" w:type="auto"/>
            <w:tcMar>
              <w:left w:w="108" w:type="dxa"/>
              <w:right w:w="108" w:type="dxa"/>
            </w:tcMar>
          </w:tcPr>
          <w:p w14:paraId="3CFC358A" w14:textId="0C63C72E" w:rsidR="00CD1095" w:rsidRDefault="00CD1095" w:rsidP="00CD1095">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CD1095" w14:paraId="6AFF3D5E" w14:textId="77777777" w:rsidTr="00DB23E4">
        <w:tc>
          <w:tcPr>
            <w:tcW w:w="0" w:type="auto"/>
            <w:vMerge/>
          </w:tcPr>
          <w:p w14:paraId="11799FA8" w14:textId="77777777" w:rsidR="00CD1095" w:rsidRPr="00DA71B8" w:rsidRDefault="00CD1095" w:rsidP="00CD1095">
            <w:pPr>
              <w:pStyle w:val="TableText0"/>
            </w:pPr>
          </w:p>
        </w:tc>
        <w:tc>
          <w:tcPr>
            <w:tcW w:w="0" w:type="auto"/>
            <w:tcMar>
              <w:left w:w="108" w:type="dxa"/>
              <w:right w:w="108" w:type="dxa"/>
            </w:tcMar>
          </w:tcPr>
          <w:p w14:paraId="01EEAE87" w14:textId="368BBF8B" w:rsidR="00CD1095" w:rsidRPr="00766B7D" w:rsidRDefault="00CD1095" w:rsidP="00CD1095">
            <w:pPr>
              <w:pStyle w:val="TableText0"/>
            </w:pPr>
            <w:r w:rsidRPr="00325B0D">
              <w:rPr>
                <w:rFonts w:cstheme="minorHAnsi"/>
                <w:sz w:val="20"/>
                <w:szCs w:val="20"/>
              </w:rPr>
              <w:t>Ryegrass</w:t>
            </w:r>
          </w:p>
        </w:tc>
        <w:tc>
          <w:tcPr>
            <w:tcW w:w="0" w:type="auto"/>
            <w:tcMar>
              <w:left w:w="108" w:type="dxa"/>
              <w:right w:w="108" w:type="dxa"/>
            </w:tcMar>
          </w:tcPr>
          <w:p w14:paraId="3CAA10E3" w14:textId="74060305" w:rsidR="00CD1095" w:rsidRPr="00766B7D" w:rsidRDefault="00CD1095" w:rsidP="00CD1095">
            <w:pPr>
              <w:pStyle w:val="TableText0"/>
            </w:pPr>
            <w:r w:rsidRPr="00325B0D">
              <w:rPr>
                <w:rFonts w:cstheme="minorHAnsi"/>
                <w:sz w:val="20"/>
                <w:szCs w:val="20"/>
              </w:rPr>
              <w:t>1.3</w:t>
            </w:r>
          </w:p>
        </w:tc>
        <w:tc>
          <w:tcPr>
            <w:tcW w:w="0" w:type="auto"/>
            <w:tcMar>
              <w:left w:w="108" w:type="dxa"/>
              <w:right w:w="108" w:type="dxa"/>
            </w:tcMar>
          </w:tcPr>
          <w:p w14:paraId="6356B5DF" w14:textId="3C8A8E72" w:rsidR="00CD1095" w:rsidRPr="00766B7D" w:rsidRDefault="00CD1095" w:rsidP="00CD1095">
            <w:pPr>
              <w:pStyle w:val="TableText0"/>
            </w:pPr>
            <w:r w:rsidRPr="00325B0D">
              <w:rPr>
                <w:rFonts w:cstheme="minorHAnsi"/>
                <w:sz w:val="20"/>
                <w:szCs w:val="20"/>
              </w:rPr>
              <w:t>DW</w:t>
            </w:r>
          </w:p>
        </w:tc>
        <w:tc>
          <w:tcPr>
            <w:tcW w:w="0" w:type="auto"/>
            <w:tcMar>
              <w:left w:w="108" w:type="dxa"/>
              <w:right w:w="108" w:type="dxa"/>
            </w:tcMar>
          </w:tcPr>
          <w:p w14:paraId="108C21F4" w14:textId="2DDEAB77" w:rsidR="00CD1095" w:rsidRPr="00766B7D" w:rsidRDefault="00CD1095" w:rsidP="00CD1095">
            <w:pPr>
              <w:pStyle w:val="TableText0"/>
            </w:pPr>
            <w:r w:rsidRPr="00325B0D">
              <w:rPr>
                <w:rFonts w:cstheme="minorHAnsi"/>
                <w:sz w:val="20"/>
                <w:szCs w:val="20"/>
              </w:rPr>
              <w:t>Wen et al. 2016</w:t>
            </w:r>
          </w:p>
        </w:tc>
      </w:tr>
      <w:tr w:rsidR="00CD1095" w14:paraId="12BE103D" w14:textId="77777777" w:rsidTr="00DB23E4">
        <w:tc>
          <w:tcPr>
            <w:tcW w:w="0" w:type="auto"/>
            <w:vMerge/>
          </w:tcPr>
          <w:p w14:paraId="5CE23409" w14:textId="77777777" w:rsidR="00CD1095" w:rsidRPr="00DA71B8" w:rsidRDefault="00CD1095" w:rsidP="00CD1095">
            <w:pPr>
              <w:pStyle w:val="TableText0"/>
            </w:pPr>
          </w:p>
        </w:tc>
        <w:tc>
          <w:tcPr>
            <w:tcW w:w="0" w:type="auto"/>
            <w:tcMar>
              <w:left w:w="108" w:type="dxa"/>
              <w:right w:w="108" w:type="dxa"/>
            </w:tcMar>
          </w:tcPr>
          <w:p w14:paraId="6CF324E5" w14:textId="7E7F0E83" w:rsidR="00CD1095" w:rsidRPr="00766B7D" w:rsidRDefault="00CD1095" w:rsidP="00CD1095">
            <w:pPr>
              <w:pStyle w:val="TableText0"/>
            </w:pPr>
            <w:r w:rsidRPr="00325B0D">
              <w:rPr>
                <w:rFonts w:cstheme="minorHAnsi"/>
                <w:sz w:val="20"/>
                <w:szCs w:val="20"/>
              </w:rPr>
              <w:t>Soybean</w:t>
            </w:r>
          </w:p>
        </w:tc>
        <w:tc>
          <w:tcPr>
            <w:tcW w:w="0" w:type="auto"/>
            <w:tcMar>
              <w:left w:w="108" w:type="dxa"/>
              <w:right w:w="108" w:type="dxa"/>
            </w:tcMar>
          </w:tcPr>
          <w:p w14:paraId="46DB470C" w14:textId="5E2C221E" w:rsidR="00CD1095" w:rsidRPr="00766B7D" w:rsidRDefault="00CD1095" w:rsidP="00CD1095">
            <w:pPr>
              <w:pStyle w:val="TableText0"/>
            </w:pPr>
            <w:r w:rsidRPr="00325B0D">
              <w:rPr>
                <w:rFonts w:cstheme="minorHAnsi"/>
                <w:sz w:val="20"/>
                <w:szCs w:val="20"/>
              </w:rPr>
              <w:t>0.3</w:t>
            </w:r>
          </w:p>
        </w:tc>
        <w:tc>
          <w:tcPr>
            <w:tcW w:w="0" w:type="auto"/>
            <w:tcMar>
              <w:left w:w="108" w:type="dxa"/>
              <w:right w:w="108" w:type="dxa"/>
            </w:tcMar>
          </w:tcPr>
          <w:p w14:paraId="654179E3" w14:textId="678BCB3A" w:rsidR="00CD1095" w:rsidRPr="00766B7D" w:rsidRDefault="00CD1095" w:rsidP="00CD1095">
            <w:pPr>
              <w:pStyle w:val="TableText0"/>
            </w:pPr>
            <w:r w:rsidRPr="00325B0D">
              <w:rPr>
                <w:rFonts w:cstheme="minorHAnsi"/>
                <w:sz w:val="20"/>
                <w:szCs w:val="20"/>
              </w:rPr>
              <w:t>DW</w:t>
            </w:r>
          </w:p>
        </w:tc>
        <w:tc>
          <w:tcPr>
            <w:tcW w:w="0" w:type="auto"/>
            <w:tcMar>
              <w:left w:w="108" w:type="dxa"/>
              <w:right w:w="108" w:type="dxa"/>
            </w:tcMar>
          </w:tcPr>
          <w:p w14:paraId="1BEDF433" w14:textId="1D7BE629" w:rsidR="00CD1095" w:rsidRPr="00766B7D" w:rsidRDefault="00CD1095" w:rsidP="00CD1095">
            <w:pPr>
              <w:pStyle w:val="TableText0"/>
            </w:pPr>
            <w:r w:rsidRPr="00325B0D">
              <w:rPr>
                <w:rFonts w:cstheme="minorHAnsi"/>
                <w:sz w:val="20"/>
                <w:szCs w:val="20"/>
              </w:rPr>
              <w:t>Wen et al. 2016</w:t>
            </w:r>
          </w:p>
        </w:tc>
      </w:tr>
      <w:tr w:rsidR="00CD1095" w14:paraId="65891E0B" w14:textId="77777777" w:rsidTr="00DB23E4">
        <w:tc>
          <w:tcPr>
            <w:tcW w:w="0" w:type="auto"/>
            <w:vMerge/>
          </w:tcPr>
          <w:p w14:paraId="2081A11F" w14:textId="77777777" w:rsidR="00CD1095" w:rsidRPr="00DA71B8" w:rsidRDefault="00CD1095" w:rsidP="00CD1095">
            <w:pPr>
              <w:pStyle w:val="TableText0"/>
            </w:pPr>
          </w:p>
        </w:tc>
        <w:tc>
          <w:tcPr>
            <w:tcW w:w="0" w:type="auto"/>
            <w:tcMar>
              <w:left w:w="108" w:type="dxa"/>
              <w:right w:w="108" w:type="dxa"/>
            </w:tcMar>
          </w:tcPr>
          <w:p w14:paraId="280ED524" w14:textId="78917FBB" w:rsidR="00CD1095" w:rsidRPr="00766B7D" w:rsidRDefault="00CD1095" w:rsidP="00CD1095">
            <w:pPr>
              <w:pStyle w:val="TableText0"/>
            </w:pPr>
            <w:r w:rsidRPr="00325B0D">
              <w:rPr>
                <w:rFonts w:cstheme="minorHAnsi"/>
                <w:sz w:val="20"/>
                <w:szCs w:val="20"/>
              </w:rPr>
              <w:t>Wheat</w:t>
            </w:r>
          </w:p>
        </w:tc>
        <w:tc>
          <w:tcPr>
            <w:tcW w:w="0" w:type="auto"/>
            <w:tcMar>
              <w:left w:w="108" w:type="dxa"/>
              <w:right w:w="108" w:type="dxa"/>
            </w:tcMar>
          </w:tcPr>
          <w:p w14:paraId="5C13865D" w14:textId="62286023" w:rsidR="00CD1095" w:rsidRPr="00766B7D" w:rsidRDefault="00CD1095" w:rsidP="00CD1095">
            <w:pPr>
              <w:pStyle w:val="TableText0"/>
            </w:pPr>
            <w:r w:rsidRPr="00325B0D">
              <w:rPr>
                <w:rFonts w:cstheme="minorHAnsi"/>
                <w:sz w:val="20"/>
                <w:szCs w:val="20"/>
              </w:rPr>
              <w:t xml:space="preserve">1.9 </w:t>
            </w:r>
            <w:r w:rsidRPr="00325B0D">
              <w:rPr>
                <w:rFonts w:cs="Arial"/>
                <w:sz w:val="20"/>
                <w:szCs w:val="20"/>
              </w:rPr>
              <w:t>–</w:t>
            </w:r>
            <w:r w:rsidRPr="00325B0D">
              <w:rPr>
                <w:rFonts w:cstheme="minorHAnsi"/>
                <w:sz w:val="20"/>
                <w:szCs w:val="20"/>
              </w:rPr>
              <w:t xml:space="preserve"> 6.8</w:t>
            </w:r>
          </w:p>
        </w:tc>
        <w:tc>
          <w:tcPr>
            <w:tcW w:w="0" w:type="auto"/>
            <w:tcMar>
              <w:left w:w="108" w:type="dxa"/>
              <w:right w:w="108" w:type="dxa"/>
            </w:tcMar>
          </w:tcPr>
          <w:p w14:paraId="74169824" w14:textId="246773BA" w:rsidR="00CD1095" w:rsidRPr="00766B7D" w:rsidRDefault="00CD1095" w:rsidP="00CD1095">
            <w:pPr>
              <w:pStyle w:val="TableText0"/>
            </w:pPr>
            <w:r w:rsidRPr="00325B0D">
              <w:rPr>
                <w:rFonts w:cstheme="minorHAnsi"/>
                <w:sz w:val="20"/>
                <w:szCs w:val="20"/>
              </w:rPr>
              <w:t>DW</w:t>
            </w:r>
          </w:p>
        </w:tc>
        <w:tc>
          <w:tcPr>
            <w:tcW w:w="0" w:type="auto"/>
            <w:tcMar>
              <w:left w:w="108" w:type="dxa"/>
              <w:right w:w="108" w:type="dxa"/>
            </w:tcMar>
          </w:tcPr>
          <w:p w14:paraId="21D78EAC" w14:textId="44EB9FEC" w:rsidR="00CD1095" w:rsidRPr="00766B7D" w:rsidRDefault="00CD1095" w:rsidP="00CD1095">
            <w:pPr>
              <w:pStyle w:val="TableText0"/>
            </w:pPr>
            <w:r w:rsidRPr="00325B0D">
              <w:rPr>
                <w:rFonts w:cstheme="minorHAnsi"/>
                <w:sz w:val="20"/>
                <w:szCs w:val="20"/>
              </w:rPr>
              <w:t>Stahl et al. 2009</w:t>
            </w:r>
          </w:p>
        </w:tc>
      </w:tr>
      <w:tr w:rsidR="00CD1095" w14:paraId="2938AB50" w14:textId="77777777" w:rsidTr="00DB23E4">
        <w:tc>
          <w:tcPr>
            <w:tcW w:w="0" w:type="auto"/>
            <w:vMerge/>
          </w:tcPr>
          <w:p w14:paraId="585289B9" w14:textId="77777777" w:rsidR="00CD1095" w:rsidRPr="00DA71B8" w:rsidRDefault="00CD1095" w:rsidP="00CD1095">
            <w:pPr>
              <w:pStyle w:val="TableText0"/>
            </w:pPr>
          </w:p>
        </w:tc>
        <w:tc>
          <w:tcPr>
            <w:tcW w:w="0" w:type="auto"/>
            <w:tcMar>
              <w:left w:w="108" w:type="dxa"/>
              <w:right w:w="108" w:type="dxa"/>
            </w:tcMar>
          </w:tcPr>
          <w:p w14:paraId="717A7677" w14:textId="565BE943" w:rsidR="00CD1095" w:rsidRPr="00766B7D" w:rsidRDefault="00CD1095" w:rsidP="00CD1095">
            <w:pPr>
              <w:pStyle w:val="TableText0"/>
            </w:pPr>
            <w:r w:rsidRPr="00325B0D">
              <w:rPr>
                <w:rFonts w:cstheme="minorHAnsi"/>
                <w:sz w:val="20"/>
                <w:szCs w:val="20"/>
              </w:rPr>
              <w:t>Wheat</w:t>
            </w:r>
          </w:p>
        </w:tc>
        <w:tc>
          <w:tcPr>
            <w:tcW w:w="0" w:type="auto"/>
            <w:tcMar>
              <w:left w:w="108" w:type="dxa"/>
              <w:right w:w="108" w:type="dxa"/>
            </w:tcMar>
          </w:tcPr>
          <w:p w14:paraId="021FA187" w14:textId="5B345B4F" w:rsidR="00CD1095" w:rsidRPr="00766B7D" w:rsidRDefault="00CD1095" w:rsidP="00CD1095">
            <w:pPr>
              <w:pStyle w:val="TableText0"/>
            </w:pPr>
            <w:r w:rsidRPr="00325B0D">
              <w:rPr>
                <w:rFonts w:cstheme="minorHAnsi"/>
                <w:sz w:val="20"/>
                <w:szCs w:val="20"/>
              </w:rPr>
              <w:t xml:space="preserve">0.7 </w:t>
            </w:r>
            <w:r w:rsidRPr="00325B0D">
              <w:rPr>
                <w:rFonts w:cs="Arial"/>
                <w:sz w:val="20"/>
                <w:szCs w:val="20"/>
              </w:rPr>
              <w:t>–</w:t>
            </w:r>
            <w:r w:rsidRPr="00325B0D">
              <w:rPr>
                <w:rFonts w:cstheme="minorHAnsi"/>
                <w:sz w:val="20"/>
                <w:szCs w:val="20"/>
              </w:rPr>
              <w:t xml:space="preserve"> 1.5</w:t>
            </w:r>
          </w:p>
        </w:tc>
        <w:tc>
          <w:tcPr>
            <w:tcW w:w="0" w:type="auto"/>
            <w:tcMar>
              <w:left w:w="108" w:type="dxa"/>
              <w:right w:w="108" w:type="dxa"/>
            </w:tcMar>
          </w:tcPr>
          <w:p w14:paraId="128479E8" w14:textId="47838BC9" w:rsidR="00CD1095" w:rsidRPr="00766B7D" w:rsidRDefault="00CD1095" w:rsidP="00CD1095">
            <w:pPr>
              <w:pStyle w:val="TableText0"/>
            </w:pPr>
            <w:r w:rsidRPr="00325B0D">
              <w:rPr>
                <w:rFonts w:cstheme="minorHAnsi"/>
                <w:sz w:val="20"/>
                <w:szCs w:val="20"/>
              </w:rPr>
              <w:t>DW</w:t>
            </w:r>
          </w:p>
        </w:tc>
        <w:tc>
          <w:tcPr>
            <w:tcW w:w="0" w:type="auto"/>
            <w:tcMar>
              <w:left w:w="108" w:type="dxa"/>
              <w:right w:w="108" w:type="dxa"/>
            </w:tcMar>
          </w:tcPr>
          <w:p w14:paraId="7F458628" w14:textId="52BDA464" w:rsidR="00CD1095" w:rsidRPr="00766B7D" w:rsidRDefault="00CD1095" w:rsidP="00CD1095">
            <w:pPr>
              <w:pStyle w:val="TableText0"/>
            </w:pPr>
            <w:r w:rsidRPr="00325B0D">
              <w:rPr>
                <w:rFonts w:cstheme="minorHAnsi"/>
                <w:sz w:val="20"/>
                <w:szCs w:val="20"/>
              </w:rPr>
              <w:t>Wen et al. 2014</w:t>
            </w:r>
          </w:p>
        </w:tc>
      </w:tr>
      <w:tr w:rsidR="00CD1095" w14:paraId="306F0414" w14:textId="77777777" w:rsidTr="00DB23E4">
        <w:tc>
          <w:tcPr>
            <w:tcW w:w="0" w:type="auto"/>
            <w:vMerge/>
          </w:tcPr>
          <w:p w14:paraId="7E10DC6C" w14:textId="77777777" w:rsidR="00CD1095" w:rsidRPr="00DA71B8" w:rsidRDefault="00CD1095" w:rsidP="00CD1095">
            <w:pPr>
              <w:pStyle w:val="TableText0"/>
            </w:pPr>
          </w:p>
        </w:tc>
        <w:tc>
          <w:tcPr>
            <w:tcW w:w="0" w:type="auto"/>
            <w:tcMar>
              <w:left w:w="108" w:type="dxa"/>
              <w:right w:w="108" w:type="dxa"/>
            </w:tcMar>
          </w:tcPr>
          <w:p w14:paraId="67E51C8F" w14:textId="6B41218A" w:rsidR="00CD1095" w:rsidRPr="00766B7D" w:rsidRDefault="00CD1095" w:rsidP="00CD1095">
            <w:pPr>
              <w:pStyle w:val="TableText0"/>
            </w:pPr>
            <w:r w:rsidRPr="00325B0D">
              <w:rPr>
                <w:rFonts w:cstheme="minorHAnsi"/>
                <w:sz w:val="20"/>
                <w:szCs w:val="20"/>
              </w:rPr>
              <w:t>Wheat</w:t>
            </w:r>
          </w:p>
        </w:tc>
        <w:tc>
          <w:tcPr>
            <w:tcW w:w="0" w:type="auto"/>
            <w:tcMar>
              <w:left w:w="108" w:type="dxa"/>
              <w:right w:w="108" w:type="dxa"/>
            </w:tcMar>
          </w:tcPr>
          <w:p w14:paraId="5B858791" w14:textId="5FEEFC78" w:rsidR="00CD1095" w:rsidRPr="00766B7D" w:rsidRDefault="00CD1095" w:rsidP="00CD1095">
            <w:pPr>
              <w:pStyle w:val="TableText0"/>
            </w:pPr>
            <w:r w:rsidRPr="00325B0D">
              <w:rPr>
                <w:rFonts w:cstheme="minorHAnsi"/>
                <w:sz w:val="20"/>
                <w:szCs w:val="20"/>
              </w:rPr>
              <w:t>0.09 -0.3</w:t>
            </w:r>
          </w:p>
        </w:tc>
        <w:tc>
          <w:tcPr>
            <w:tcW w:w="0" w:type="auto"/>
            <w:tcMar>
              <w:left w:w="108" w:type="dxa"/>
              <w:right w:w="108" w:type="dxa"/>
            </w:tcMar>
          </w:tcPr>
          <w:p w14:paraId="2CAEBBEA" w14:textId="518A3AE1" w:rsidR="00CD1095" w:rsidRPr="00766B7D" w:rsidRDefault="00CD1095" w:rsidP="00CD1095">
            <w:pPr>
              <w:pStyle w:val="TableText0"/>
            </w:pPr>
            <w:r w:rsidRPr="00325B0D">
              <w:rPr>
                <w:rFonts w:cstheme="minorHAnsi"/>
                <w:sz w:val="20"/>
                <w:szCs w:val="20"/>
              </w:rPr>
              <w:t>DW</w:t>
            </w:r>
          </w:p>
        </w:tc>
        <w:tc>
          <w:tcPr>
            <w:tcW w:w="0" w:type="auto"/>
            <w:tcMar>
              <w:left w:w="108" w:type="dxa"/>
              <w:right w:w="108" w:type="dxa"/>
            </w:tcMar>
          </w:tcPr>
          <w:p w14:paraId="466BCB9C" w14:textId="407F4D50" w:rsidR="00CD1095" w:rsidRPr="00766B7D" w:rsidRDefault="00CD1095" w:rsidP="00CD1095">
            <w:pPr>
              <w:pStyle w:val="TableText0"/>
            </w:pPr>
            <w:r w:rsidRPr="00325B0D">
              <w:rPr>
                <w:rFonts w:cstheme="minorHAnsi"/>
                <w:sz w:val="20"/>
                <w:szCs w:val="20"/>
              </w:rPr>
              <w:t>Zhao et al. 2014</w:t>
            </w:r>
          </w:p>
        </w:tc>
      </w:tr>
      <w:tr w:rsidR="001B28D8" w14:paraId="17697601" w14:textId="77777777" w:rsidTr="00DB23E4">
        <w:tc>
          <w:tcPr>
            <w:tcW w:w="0" w:type="auto"/>
            <w:vMerge w:val="restart"/>
          </w:tcPr>
          <w:p w14:paraId="244F17F6" w14:textId="77777777" w:rsidR="001B28D8" w:rsidRPr="00DA71B8" w:rsidRDefault="001B28D8" w:rsidP="001B28D8">
            <w:pPr>
              <w:pStyle w:val="TableText0"/>
            </w:pPr>
            <w:r>
              <w:t>Vegetative parts WW</w:t>
            </w:r>
          </w:p>
        </w:tc>
        <w:tc>
          <w:tcPr>
            <w:tcW w:w="0" w:type="auto"/>
            <w:tcMar>
              <w:left w:w="108" w:type="dxa"/>
              <w:right w:w="108" w:type="dxa"/>
            </w:tcMar>
          </w:tcPr>
          <w:p w14:paraId="0957022D" w14:textId="710EBB7B" w:rsidR="001B28D8" w:rsidRDefault="001B28D8" w:rsidP="001B28D8">
            <w:pPr>
              <w:pStyle w:val="TableText0"/>
            </w:pPr>
            <w:r w:rsidRPr="00325B0D">
              <w:rPr>
                <w:rFonts w:cstheme="minorHAnsi"/>
                <w:sz w:val="20"/>
                <w:szCs w:val="20"/>
              </w:rPr>
              <w:t>Carrot</w:t>
            </w:r>
          </w:p>
        </w:tc>
        <w:tc>
          <w:tcPr>
            <w:tcW w:w="0" w:type="auto"/>
            <w:tcMar>
              <w:left w:w="108" w:type="dxa"/>
              <w:right w:w="108" w:type="dxa"/>
            </w:tcMar>
          </w:tcPr>
          <w:p w14:paraId="69FB2899" w14:textId="4A42B724" w:rsidR="001B28D8" w:rsidRDefault="001B28D8" w:rsidP="001B28D8">
            <w:pPr>
              <w:pStyle w:val="TableText0"/>
            </w:pPr>
            <w:r w:rsidRPr="00325B0D">
              <w:rPr>
                <w:rFonts w:cstheme="minorHAnsi"/>
                <w:sz w:val="20"/>
                <w:szCs w:val="20"/>
              </w:rPr>
              <w:t>0.5</w:t>
            </w:r>
          </w:p>
        </w:tc>
        <w:tc>
          <w:tcPr>
            <w:tcW w:w="0" w:type="auto"/>
            <w:tcMar>
              <w:left w:w="108" w:type="dxa"/>
              <w:right w:w="108" w:type="dxa"/>
            </w:tcMar>
          </w:tcPr>
          <w:p w14:paraId="635174E2" w14:textId="3C1CF997" w:rsidR="001B28D8" w:rsidRDefault="001B28D8" w:rsidP="001B28D8">
            <w:pPr>
              <w:pStyle w:val="TableText0"/>
            </w:pPr>
            <w:r w:rsidRPr="00325B0D">
              <w:rPr>
                <w:rFonts w:cstheme="minorHAnsi"/>
                <w:sz w:val="20"/>
                <w:szCs w:val="20"/>
              </w:rPr>
              <w:t>WW</w:t>
            </w:r>
          </w:p>
        </w:tc>
        <w:tc>
          <w:tcPr>
            <w:tcW w:w="0" w:type="auto"/>
            <w:tcMar>
              <w:left w:w="108" w:type="dxa"/>
              <w:right w:w="108" w:type="dxa"/>
            </w:tcMar>
          </w:tcPr>
          <w:p w14:paraId="46FDF33E" w14:textId="17FD99E0" w:rsidR="001B28D8" w:rsidRDefault="001B28D8" w:rsidP="001B28D8">
            <w:pPr>
              <w:pStyle w:val="TableText0"/>
            </w:pPr>
            <w:r w:rsidRPr="00325B0D">
              <w:rPr>
                <w:rFonts w:cstheme="minorHAnsi"/>
                <w:sz w:val="20"/>
                <w:szCs w:val="20"/>
              </w:rPr>
              <w:t>Lechner &amp; Knapp 2011</w:t>
            </w:r>
          </w:p>
        </w:tc>
      </w:tr>
      <w:tr w:rsidR="001B28D8" w14:paraId="452DAA43" w14:textId="77777777" w:rsidTr="00DB23E4">
        <w:tc>
          <w:tcPr>
            <w:tcW w:w="0" w:type="auto"/>
            <w:vMerge/>
          </w:tcPr>
          <w:p w14:paraId="43E0CE18" w14:textId="77777777" w:rsidR="001B28D8" w:rsidRPr="00DA71B8" w:rsidRDefault="001B28D8" w:rsidP="001B28D8">
            <w:pPr>
              <w:pStyle w:val="TableText0"/>
            </w:pPr>
          </w:p>
        </w:tc>
        <w:tc>
          <w:tcPr>
            <w:tcW w:w="0" w:type="auto"/>
            <w:tcMar>
              <w:left w:w="108" w:type="dxa"/>
              <w:right w:w="108" w:type="dxa"/>
            </w:tcMar>
          </w:tcPr>
          <w:p w14:paraId="224F3E5F" w14:textId="10994CB3" w:rsidR="001B28D8" w:rsidRDefault="001B28D8" w:rsidP="001B28D8">
            <w:pPr>
              <w:pStyle w:val="TableText0"/>
            </w:pPr>
            <w:r w:rsidRPr="00325B0D">
              <w:rPr>
                <w:rFonts w:cstheme="minorHAnsi"/>
                <w:sz w:val="20"/>
                <w:szCs w:val="20"/>
              </w:rPr>
              <w:t>Cucumber</w:t>
            </w:r>
          </w:p>
        </w:tc>
        <w:tc>
          <w:tcPr>
            <w:tcW w:w="0" w:type="auto"/>
            <w:tcMar>
              <w:left w:w="108" w:type="dxa"/>
              <w:right w:w="108" w:type="dxa"/>
            </w:tcMar>
          </w:tcPr>
          <w:p w14:paraId="55187935" w14:textId="3E1814B6" w:rsidR="001B28D8" w:rsidRDefault="001B28D8" w:rsidP="001B28D8">
            <w:pPr>
              <w:pStyle w:val="TableText0"/>
            </w:pPr>
            <w:r w:rsidRPr="00325B0D">
              <w:rPr>
                <w:rFonts w:cstheme="minorHAnsi"/>
                <w:sz w:val="20"/>
                <w:szCs w:val="20"/>
              </w:rPr>
              <w:t>0.8 – 1.0</w:t>
            </w:r>
          </w:p>
        </w:tc>
        <w:tc>
          <w:tcPr>
            <w:tcW w:w="0" w:type="auto"/>
            <w:tcMar>
              <w:left w:w="108" w:type="dxa"/>
              <w:right w:w="108" w:type="dxa"/>
            </w:tcMar>
          </w:tcPr>
          <w:p w14:paraId="26EED706" w14:textId="5F94D07D" w:rsidR="001B28D8" w:rsidRDefault="001B28D8" w:rsidP="001B28D8">
            <w:pPr>
              <w:pStyle w:val="TableText0"/>
            </w:pPr>
            <w:r w:rsidRPr="00325B0D">
              <w:rPr>
                <w:rFonts w:cstheme="minorHAnsi"/>
                <w:sz w:val="20"/>
                <w:szCs w:val="20"/>
              </w:rPr>
              <w:t>WW</w:t>
            </w:r>
          </w:p>
        </w:tc>
        <w:tc>
          <w:tcPr>
            <w:tcW w:w="0" w:type="auto"/>
            <w:tcMar>
              <w:left w:w="108" w:type="dxa"/>
              <w:right w:w="108" w:type="dxa"/>
            </w:tcMar>
          </w:tcPr>
          <w:p w14:paraId="33BBC2D1" w14:textId="3ECFDD07" w:rsidR="001B28D8" w:rsidRDefault="001B28D8" w:rsidP="001B28D8">
            <w:pPr>
              <w:pStyle w:val="TableText0"/>
            </w:pPr>
            <w:r w:rsidRPr="00325B0D">
              <w:rPr>
                <w:rFonts w:cstheme="minorHAnsi"/>
                <w:sz w:val="20"/>
                <w:szCs w:val="20"/>
              </w:rPr>
              <w:t>Lechner &amp; Knapp 2011</w:t>
            </w:r>
          </w:p>
        </w:tc>
      </w:tr>
      <w:tr w:rsidR="001B28D8" w14:paraId="2BAB6187" w14:textId="77777777" w:rsidTr="00DB23E4">
        <w:tc>
          <w:tcPr>
            <w:tcW w:w="0" w:type="auto"/>
            <w:vMerge/>
          </w:tcPr>
          <w:p w14:paraId="03E99A1F" w14:textId="77777777" w:rsidR="001B28D8" w:rsidRPr="00DA71B8" w:rsidRDefault="001B28D8" w:rsidP="001B28D8">
            <w:pPr>
              <w:pStyle w:val="TableText0"/>
            </w:pPr>
          </w:p>
        </w:tc>
        <w:tc>
          <w:tcPr>
            <w:tcW w:w="0" w:type="auto"/>
            <w:tcMar>
              <w:left w:w="108" w:type="dxa"/>
              <w:right w:w="108" w:type="dxa"/>
            </w:tcMar>
          </w:tcPr>
          <w:p w14:paraId="33CA3935" w14:textId="273130BA" w:rsidR="001B28D8" w:rsidRDefault="001B28D8" w:rsidP="001B28D8">
            <w:pPr>
              <w:pStyle w:val="TableText0"/>
            </w:pPr>
            <w:r w:rsidRPr="00325B0D">
              <w:rPr>
                <w:rFonts w:cstheme="minorHAnsi"/>
                <w:sz w:val="20"/>
                <w:szCs w:val="20"/>
              </w:rPr>
              <w:t>Potato</w:t>
            </w:r>
          </w:p>
        </w:tc>
        <w:tc>
          <w:tcPr>
            <w:tcW w:w="0" w:type="auto"/>
            <w:tcMar>
              <w:left w:w="108" w:type="dxa"/>
              <w:right w:w="108" w:type="dxa"/>
            </w:tcMar>
          </w:tcPr>
          <w:p w14:paraId="70016497" w14:textId="683ECBE7" w:rsidR="001B28D8" w:rsidRDefault="001B28D8" w:rsidP="001B28D8">
            <w:pPr>
              <w:pStyle w:val="TableText0"/>
            </w:pPr>
            <w:r w:rsidRPr="00325B0D">
              <w:rPr>
                <w:rFonts w:cstheme="minorHAnsi"/>
                <w:sz w:val="20"/>
                <w:szCs w:val="20"/>
              </w:rPr>
              <w:t>0.4</w:t>
            </w:r>
          </w:p>
        </w:tc>
        <w:tc>
          <w:tcPr>
            <w:tcW w:w="0" w:type="auto"/>
            <w:tcMar>
              <w:left w:w="108" w:type="dxa"/>
              <w:right w:w="108" w:type="dxa"/>
            </w:tcMar>
          </w:tcPr>
          <w:p w14:paraId="007CF9DB" w14:textId="36014B51" w:rsidR="001B28D8" w:rsidRDefault="001B28D8" w:rsidP="001B28D8">
            <w:pPr>
              <w:pStyle w:val="TableText0"/>
            </w:pPr>
            <w:r w:rsidRPr="00325B0D">
              <w:rPr>
                <w:rFonts w:cstheme="minorHAnsi"/>
                <w:sz w:val="20"/>
                <w:szCs w:val="20"/>
              </w:rPr>
              <w:t>WW</w:t>
            </w:r>
          </w:p>
        </w:tc>
        <w:tc>
          <w:tcPr>
            <w:tcW w:w="0" w:type="auto"/>
            <w:tcMar>
              <w:left w:w="108" w:type="dxa"/>
              <w:right w:w="108" w:type="dxa"/>
            </w:tcMar>
          </w:tcPr>
          <w:p w14:paraId="558A09EB" w14:textId="75E5B35C" w:rsidR="001B28D8" w:rsidRDefault="001B28D8" w:rsidP="001B28D8">
            <w:pPr>
              <w:pStyle w:val="TableText0"/>
            </w:pPr>
            <w:r w:rsidRPr="00325B0D">
              <w:rPr>
                <w:rFonts w:cstheme="minorHAnsi"/>
                <w:sz w:val="20"/>
                <w:szCs w:val="20"/>
              </w:rPr>
              <w:t>Lechner &amp; Knapp 2011</w:t>
            </w:r>
          </w:p>
        </w:tc>
      </w:tr>
      <w:tr w:rsidR="001B28D8" w14:paraId="56068766" w14:textId="77777777" w:rsidTr="00DB23E4">
        <w:tc>
          <w:tcPr>
            <w:tcW w:w="0" w:type="auto"/>
            <w:vMerge/>
          </w:tcPr>
          <w:p w14:paraId="68C93F39" w14:textId="77777777" w:rsidR="001B28D8" w:rsidRPr="00DA71B8" w:rsidRDefault="001B28D8" w:rsidP="001B28D8">
            <w:pPr>
              <w:pStyle w:val="TableText0"/>
            </w:pPr>
          </w:p>
        </w:tc>
        <w:tc>
          <w:tcPr>
            <w:tcW w:w="0" w:type="auto"/>
            <w:tcMar>
              <w:left w:w="108" w:type="dxa"/>
              <w:right w:w="108" w:type="dxa"/>
            </w:tcMar>
          </w:tcPr>
          <w:p w14:paraId="0B8B5CFB" w14:textId="1F8CEF04" w:rsidR="001B28D8" w:rsidRDefault="001B28D8" w:rsidP="001B28D8">
            <w:pPr>
              <w:pStyle w:val="TableText0"/>
            </w:pPr>
            <w:r w:rsidRPr="00325B0D">
              <w:rPr>
                <w:rFonts w:cstheme="minorHAnsi"/>
                <w:sz w:val="20"/>
                <w:szCs w:val="20"/>
              </w:rPr>
              <w:t>Wheat grass</w:t>
            </w:r>
          </w:p>
        </w:tc>
        <w:tc>
          <w:tcPr>
            <w:tcW w:w="0" w:type="auto"/>
            <w:tcMar>
              <w:left w:w="108" w:type="dxa"/>
              <w:right w:w="108" w:type="dxa"/>
            </w:tcMar>
          </w:tcPr>
          <w:p w14:paraId="7C7AB28A" w14:textId="0BCC5A9C" w:rsidR="001B28D8" w:rsidRDefault="001B28D8" w:rsidP="001B28D8">
            <w:pPr>
              <w:pStyle w:val="TableText0"/>
            </w:pPr>
            <w:r w:rsidRPr="00325B0D">
              <w:rPr>
                <w:rFonts w:cstheme="minorHAnsi"/>
                <w:sz w:val="20"/>
                <w:szCs w:val="20"/>
              </w:rPr>
              <w:t>0.6</w:t>
            </w:r>
          </w:p>
        </w:tc>
        <w:tc>
          <w:tcPr>
            <w:tcW w:w="0" w:type="auto"/>
            <w:tcMar>
              <w:left w:w="108" w:type="dxa"/>
              <w:right w:w="108" w:type="dxa"/>
            </w:tcMar>
          </w:tcPr>
          <w:p w14:paraId="0A206287" w14:textId="1B5DA238" w:rsidR="001B28D8" w:rsidRDefault="001B28D8" w:rsidP="001B28D8">
            <w:pPr>
              <w:pStyle w:val="TableText0"/>
            </w:pPr>
            <w:r w:rsidRPr="00325B0D">
              <w:rPr>
                <w:rFonts w:cstheme="minorHAnsi"/>
                <w:sz w:val="20"/>
                <w:szCs w:val="20"/>
              </w:rPr>
              <w:t>WW</w:t>
            </w:r>
          </w:p>
        </w:tc>
        <w:tc>
          <w:tcPr>
            <w:tcW w:w="0" w:type="auto"/>
            <w:tcMar>
              <w:left w:w="108" w:type="dxa"/>
              <w:right w:w="108" w:type="dxa"/>
            </w:tcMar>
          </w:tcPr>
          <w:p w14:paraId="17709B67" w14:textId="1029C246" w:rsidR="001B28D8" w:rsidRDefault="001B28D8" w:rsidP="001B28D8">
            <w:pPr>
              <w:pStyle w:val="TableText0"/>
            </w:pPr>
            <w:proofErr w:type="spellStart"/>
            <w:r w:rsidRPr="00325B0D">
              <w:rPr>
                <w:rFonts w:cstheme="minorHAnsi"/>
                <w:sz w:val="20"/>
                <w:szCs w:val="20"/>
              </w:rPr>
              <w:t>Bräunig</w:t>
            </w:r>
            <w:proofErr w:type="spellEnd"/>
            <w:r w:rsidRPr="00325B0D">
              <w:rPr>
                <w:rFonts w:cstheme="minorHAnsi"/>
                <w:sz w:val="20"/>
                <w:szCs w:val="20"/>
              </w:rPr>
              <w:t xml:space="preserve"> et al. 2018</w:t>
            </w:r>
          </w:p>
        </w:tc>
      </w:tr>
      <w:tr w:rsidR="008C3E50" w14:paraId="733AA3EF" w14:textId="77777777" w:rsidTr="00DB23E4">
        <w:tc>
          <w:tcPr>
            <w:tcW w:w="0" w:type="auto"/>
            <w:vMerge w:val="restart"/>
          </w:tcPr>
          <w:p w14:paraId="53852ABF" w14:textId="77777777" w:rsidR="008C3E50" w:rsidRPr="00DA71B8" w:rsidRDefault="008C3E50" w:rsidP="008C3E50">
            <w:pPr>
              <w:pStyle w:val="TableText0"/>
            </w:pPr>
            <w:r>
              <w:t>Roots</w:t>
            </w:r>
          </w:p>
        </w:tc>
        <w:tc>
          <w:tcPr>
            <w:tcW w:w="0" w:type="auto"/>
            <w:tcMar>
              <w:left w:w="108" w:type="dxa"/>
              <w:right w:w="108" w:type="dxa"/>
            </w:tcMar>
          </w:tcPr>
          <w:p w14:paraId="36C5C14C" w14:textId="5851F6F9" w:rsidR="008C3E50" w:rsidRDefault="008C3E50" w:rsidP="008C3E50">
            <w:pPr>
              <w:pStyle w:val="TableText0"/>
            </w:pPr>
            <w:r w:rsidRPr="00325B0D">
              <w:rPr>
                <w:rFonts w:cstheme="minorHAnsi"/>
                <w:sz w:val="20"/>
                <w:szCs w:val="20"/>
              </w:rPr>
              <w:t>Alfalfa</w:t>
            </w:r>
          </w:p>
        </w:tc>
        <w:tc>
          <w:tcPr>
            <w:tcW w:w="0" w:type="auto"/>
            <w:tcMar>
              <w:left w:w="108" w:type="dxa"/>
              <w:right w:w="108" w:type="dxa"/>
            </w:tcMar>
          </w:tcPr>
          <w:p w14:paraId="5B954744" w14:textId="571D73E5" w:rsidR="008C3E50" w:rsidRDefault="008C3E50" w:rsidP="008C3E50">
            <w:pPr>
              <w:pStyle w:val="TableText0"/>
            </w:pPr>
            <w:r w:rsidRPr="00325B0D">
              <w:rPr>
                <w:rFonts w:cstheme="minorHAnsi"/>
                <w:sz w:val="20"/>
                <w:szCs w:val="20"/>
              </w:rPr>
              <w:t>10.3</w:t>
            </w:r>
          </w:p>
        </w:tc>
        <w:tc>
          <w:tcPr>
            <w:tcW w:w="0" w:type="auto"/>
            <w:tcMar>
              <w:left w:w="108" w:type="dxa"/>
              <w:right w:w="108" w:type="dxa"/>
            </w:tcMar>
          </w:tcPr>
          <w:p w14:paraId="08DBE08F" w14:textId="701F85F8" w:rsidR="008C3E50" w:rsidRDefault="008C3E50" w:rsidP="008C3E50">
            <w:pPr>
              <w:pStyle w:val="TableText0"/>
            </w:pPr>
            <w:r w:rsidRPr="00325B0D">
              <w:rPr>
                <w:rFonts w:cstheme="minorHAnsi"/>
                <w:sz w:val="20"/>
                <w:szCs w:val="20"/>
              </w:rPr>
              <w:t>DW</w:t>
            </w:r>
          </w:p>
        </w:tc>
        <w:tc>
          <w:tcPr>
            <w:tcW w:w="0" w:type="auto"/>
            <w:tcMar>
              <w:left w:w="108" w:type="dxa"/>
              <w:right w:w="108" w:type="dxa"/>
            </w:tcMar>
          </w:tcPr>
          <w:p w14:paraId="76429427" w14:textId="7339957F" w:rsidR="008C3E50" w:rsidRDefault="008C3E50" w:rsidP="008C3E50">
            <w:pPr>
              <w:pStyle w:val="TableText0"/>
            </w:pPr>
            <w:r w:rsidRPr="00325B0D">
              <w:rPr>
                <w:rFonts w:cstheme="minorHAnsi"/>
                <w:sz w:val="20"/>
                <w:szCs w:val="20"/>
              </w:rPr>
              <w:t>Wen et al. 2016</w:t>
            </w:r>
          </w:p>
        </w:tc>
      </w:tr>
      <w:tr w:rsidR="008C3E50" w14:paraId="12C5247F" w14:textId="77777777" w:rsidTr="00DB23E4">
        <w:tc>
          <w:tcPr>
            <w:tcW w:w="0" w:type="auto"/>
            <w:vMerge/>
          </w:tcPr>
          <w:p w14:paraId="2BB00D20" w14:textId="77777777" w:rsidR="008C3E50" w:rsidRDefault="008C3E50" w:rsidP="008C3E50">
            <w:pPr>
              <w:pStyle w:val="TableText0"/>
            </w:pPr>
          </w:p>
        </w:tc>
        <w:tc>
          <w:tcPr>
            <w:tcW w:w="0" w:type="auto"/>
            <w:tcMar>
              <w:left w:w="108" w:type="dxa"/>
              <w:right w:w="108" w:type="dxa"/>
            </w:tcMar>
          </w:tcPr>
          <w:p w14:paraId="1BF43D80" w14:textId="5D156113" w:rsidR="008C3E50" w:rsidRDefault="008C3E50" w:rsidP="008C3E50">
            <w:pPr>
              <w:pStyle w:val="TableText0"/>
            </w:pPr>
            <w:r w:rsidRPr="00325B0D">
              <w:rPr>
                <w:rFonts w:cstheme="minorHAnsi"/>
                <w:sz w:val="20"/>
                <w:szCs w:val="20"/>
              </w:rPr>
              <w:t>Alfalfa</w:t>
            </w:r>
          </w:p>
        </w:tc>
        <w:tc>
          <w:tcPr>
            <w:tcW w:w="0" w:type="auto"/>
            <w:tcMar>
              <w:left w:w="108" w:type="dxa"/>
              <w:right w:w="108" w:type="dxa"/>
            </w:tcMar>
          </w:tcPr>
          <w:p w14:paraId="03E805CF" w14:textId="010B5C13" w:rsidR="008C3E50" w:rsidRDefault="008C3E50" w:rsidP="008C3E50">
            <w:pPr>
              <w:pStyle w:val="TableText0"/>
            </w:pPr>
            <w:r w:rsidRPr="00325B0D">
              <w:rPr>
                <w:rFonts w:cstheme="minorHAnsi"/>
                <w:sz w:val="20"/>
                <w:szCs w:val="20"/>
              </w:rPr>
              <w:t>19</w:t>
            </w:r>
          </w:p>
        </w:tc>
        <w:tc>
          <w:tcPr>
            <w:tcW w:w="0" w:type="auto"/>
            <w:tcMar>
              <w:left w:w="108" w:type="dxa"/>
              <w:right w:w="108" w:type="dxa"/>
            </w:tcMar>
          </w:tcPr>
          <w:p w14:paraId="7733936A" w14:textId="16A87B31" w:rsidR="008C3E50" w:rsidRDefault="008C3E50" w:rsidP="008C3E50">
            <w:pPr>
              <w:pStyle w:val="TableText0"/>
            </w:pPr>
            <w:r w:rsidRPr="00325B0D">
              <w:rPr>
                <w:rFonts w:cstheme="minorHAnsi"/>
                <w:sz w:val="20"/>
                <w:szCs w:val="20"/>
              </w:rPr>
              <w:t>DW</w:t>
            </w:r>
          </w:p>
        </w:tc>
        <w:tc>
          <w:tcPr>
            <w:tcW w:w="0" w:type="auto"/>
            <w:tcMar>
              <w:left w:w="108" w:type="dxa"/>
              <w:right w:w="108" w:type="dxa"/>
            </w:tcMar>
          </w:tcPr>
          <w:p w14:paraId="10AB32B6" w14:textId="5E090CAA" w:rsidR="008C3E50" w:rsidRDefault="008C3E50" w:rsidP="008C3E50">
            <w:pPr>
              <w:pStyle w:val="TableText0"/>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8C3E50" w14:paraId="10F003F2" w14:textId="77777777" w:rsidTr="00DB23E4">
        <w:tc>
          <w:tcPr>
            <w:tcW w:w="0" w:type="auto"/>
            <w:vMerge/>
          </w:tcPr>
          <w:p w14:paraId="3015CE57" w14:textId="77777777" w:rsidR="008C3E50" w:rsidRDefault="008C3E50" w:rsidP="008C3E50">
            <w:pPr>
              <w:pStyle w:val="TableText0"/>
            </w:pPr>
          </w:p>
        </w:tc>
        <w:tc>
          <w:tcPr>
            <w:tcW w:w="0" w:type="auto"/>
            <w:tcMar>
              <w:left w:w="108" w:type="dxa"/>
              <w:right w:w="108" w:type="dxa"/>
            </w:tcMar>
          </w:tcPr>
          <w:p w14:paraId="4F99ADE8" w14:textId="22520FFC" w:rsidR="008C3E50" w:rsidRDefault="008C3E50" w:rsidP="008C3E50">
            <w:pPr>
              <w:pStyle w:val="TableText0"/>
            </w:pPr>
            <w:r w:rsidRPr="00325B0D">
              <w:rPr>
                <w:rFonts w:cstheme="minorHAnsi"/>
                <w:sz w:val="20"/>
                <w:szCs w:val="20"/>
              </w:rPr>
              <w:t>Lettuce</w:t>
            </w:r>
          </w:p>
        </w:tc>
        <w:tc>
          <w:tcPr>
            <w:tcW w:w="0" w:type="auto"/>
            <w:tcMar>
              <w:left w:w="108" w:type="dxa"/>
              <w:right w:w="108" w:type="dxa"/>
            </w:tcMar>
          </w:tcPr>
          <w:p w14:paraId="55B17000" w14:textId="358D3753" w:rsidR="008C3E50" w:rsidRDefault="008C3E50" w:rsidP="008C3E50">
            <w:pPr>
              <w:pStyle w:val="TableText0"/>
            </w:pPr>
            <w:r w:rsidRPr="00325B0D">
              <w:rPr>
                <w:rFonts w:cstheme="minorHAnsi"/>
                <w:sz w:val="20"/>
                <w:szCs w:val="20"/>
              </w:rPr>
              <w:t>6.1</w:t>
            </w:r>
          </w:p>
        </w:tc>
        <w:tc>
          <w:tcPr>
            <w:tcW w:w="0" w:type="auto"/>
            <w:tcMar>
              <w:left w:w="108" w:type="dxa"/>
              <w:right w:w="108" w:type="dxa"/>
            </w:tcMar>
          </w:tcPr>
          <w:p w14:paraId="13229E39" w14:textId="06B723DC" w:rsidR="008C3E50" w:rsidRDefault="008C3E50" w:rsidP="008C3E50">
            <w:pPr>
              <w:pStyle w:val="TableText0"/>
            </w:pPr>
            <w:r w:rsidRPr="00325B0D">
              <w:rPr>
                <w:rFonts w:cstheme="minorHAnsi"/>
                <w:sz w:val="20"/>
                <w:szCs w:val="20"/>
              </w:rPr>
              <w:t>DW</w:t>
            </w:r>
          </w:p>
        </w:tc>
        <w:tc>
          <w:tcPr>
            <w:tcW w:w="0" w:type="auto"/>
            <w:tcMar>
              <w:left w:w="108" w:type="dxa"/>
              <w:right w:w="108" w:type="dxa"/>
            </w:tcMar>
          </w:tcPr>
          <w:p w14:paraId="321CAB9A" w14:textId="5A6BCC94" w:rsidR="008C3E50" w:rsidRDefault="008C3E50" w:rsidP="008C3E50">
            <w:pPr>
              <w:pStyle w:val="TableText0"/>
            </w:pPr>
            <w:r w:rsidRPr="00325B0D">
              <w:rPr>
                <w:rFonts w:cstheme="minorHAnsi"/>
                <w:sz w:val="20"/>
                <w:szCs w:val="20"/>
              </w:rPr>
              <w:t>Wen et al. 2016</w:t>
            </w:r>
          </w:p>
        </w:tc>
      </w:tr>
      <w:tr w:rsidR="008C3E50" w14:paraId="4F10D96E" w14:textId="77777777" w:rsidTr="00DB23E4">
        <w:tc>
          <w:tcPr>
            <w:tcW w:w="0" w:type="auto"/>
            <w:vMerge/>
          </w:tcPr>
          <w:p w14:paraId="62D41BF3" w14:textId="77777777" w:rsidR="008C3E50" w:rsidRDefault="008C3E50" w:rsidP="008C3E50">
            <w:pPr>
              <w:pStyle w:val="TableText0"/>
            </w:pPr>
          </w:p>
        </w:tc>
        <w:tc>
          <w:tcPr>
            <w:tcW w:w="0" w:type="auto"/>
            <w:tcMar>
              <w:left w:w="108" w:type="dxa"/>
              <w:right w:w="108" w:type="dxa"/>
            </w:tcMar>
          </w:tcPr>
          <w:p w14:paraId="7E412C97" w14:textId="736B945D" w:rsidR="008C3E50" w:rsidRPr="00325B0D" w:rsidRDefault="008C3E50" w:rsidP="008C3E50">
            <w:pPr>
              <w:pStyle w:val="TableText0"/>
              <w:rPr>
                <w:rFonts w:cstheme="minorHAnsi"/>
                <w:sz w:val="20"/>
                <w:szCs w:val="20"/>
              </w:rPr>
            </w:pPr>
            <w:r w:rsidRPr="00325B0D">
              <w:rPr>
                <w:rFonts w:cstheme="minorHAnsi"/>
                <w:sz w:val="20"/>
                <w:szCs w:val="20"/>
              </w:rPr>
              <w:t>Maize</w:t>
            </w:r>
          </w:p>
        </w:tc>
        <w:tc>
          <w:tcPr>
            <w:tcW w:w="0" w:type="auto"/>
            <w:tcMar>
              <w:left w:w="108" w:type="dxa"/>
              <w:right w:w="108" w:type="dxa"/>
            </w:tcMar>
          </w:tcPr>
          <w:p w14:paraId="25588B9A" w14:textId="6A564C7C" w:rsidR="008C3E50" w:rsidRPr="00325B0D" w:rsidRDefault="008C3E50" w:rsidP="008C3E50">
            <w:pPr>
              <w:pStyle w:val="TableText0"/>
              <w:rPr>
                <w:rFonts w:cstheme="minorHAnsi"/>
                <w:sz w:val="20"/>
                <w:szCs w:val="20"/>
              </w:rPr>
            </w:pPr>
            <w:r w:rsidRPr="00325B0D">
              <w:rPr>
                <w:rFonts w:cstheme="minorHAnsi"/>
                <w:sz w:val="20"/>
                <w:szCs w:val="20"/>
              </w:rPr>
              <w:t>1.7</w:t>
            </w:r>
          </w:p>
        </w:tc>
        <w:tc>
          <w:tcPr>
            <w:tcW w:w="0" w:type="auto"/>
            <w:tcMar>
              <w:left w:w="108" w:type="dxa"/>
              <w:right w:w="108" w:type="dxa"/>
            </w:tcMar>
          </w:tcPr>
          <w:p w14:paraId="50F05867" w14:textId="09B70D7D"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2F7C4FDF" w14:textId="1A9BA5FB" w:rsidR="008C3E50" w:rsidRPr="00325B0D" w:rsidRDefault="008C3E50" w:rsidP="008C3E50">
            <w:pPr>
              <w:pStyle w:val="TableText0"/>
              <w:rPr>
                <w:rFonts w:cstheme="minorHAnsi"/>
                <w:sz w:val="20"/>
                <w:szCs w:val="20"/>
              </w:rPr>
            </w:pPr>
            <w:r w:rsidRPr="00325B0D">
              <w:rPr>
                <w:rFonts w:cstheme="minorHAnsi"/>
                <w:sz w:val="20"/>
                <w:szCs w:val="20"/>
              </w:rPr>
              <w:t>Wen et al. 2016</w:t>
            </w:r>
          </w:p>
        </w:tc>
      </w:tr>
      <w:tr w:rsidR="008C3E50" w14:paraId="77359DD2" w14:textId="77777777" w:rsidTr="00DB23E4">
        <w:tc>
          <w:tcPr>
            <w:tcW w:w="0" w:type="auto"/>
            <w:vMerge/>
          </w:tcPr>
          <w:p w14:paraId="54722C5F" w14:textId="77777777" w:rsidR="008C3E50" w:rsidRDefault="008C3E50" w:rsidP="008C3E50">
            <w:pPr>
              <w:pStyle w:val="TableText0"/>
            </w:pPr>
          </w:p>
        </w:tc>
        <w:tc>
          <w:tcPr>
            <w:tcW w:w="0" w:type="auto"/>
            <w:tcMar>
              <w:left w:w="108" w:type="dxa"/>
              <w:right w:w="108" w:type="dxa"/>
            </w:tcMar>
          </w:tcPr>
          <w:p w14:paraId="3B1D296E" w14:textId="5ECB259D" w:rsidR="008C3E50" w:rsidRPr="00325B0D" w:rsidRDefault="008C3E50" w:rsidP="008C3E50">
            <w:pPr>
              <w:pStyle w:val="TableText0"/>
              <w:rPr>
                <w:rFonts w:cstheme="minorHAnsi"/>
                <w:sz w:val="20"/>
                <w:szCs w:val="20"/>
              </w:rPr>
            </w:pPr>
            <w:r w:rsidRPr="00325B0D">
              <w:rPr>
                <w:rFonts w:cstheme="minorHAnsi"/>
                <w:sz w:val="20"/>
                <w:szCs w:val="20"/>
              </w:rPr>
              <w:t>Mung bean</w:t>
            </w:r>
          </w:p>
        </w:tc>
        <w:tc>
          <w:tcPr>
            <w:tcW w:w="0" w:type="auto"/>
            <w:tcMar>
              <w:left w:w="108" w:type="dxa"/>
              <w:right w:w="108" w:type="dxa"/>
            </w:tcMar>
          </w:tcPr>
          <w:p w14:paraId="68CB3088" w14:textId="62817882" w:rsidR="008C3E50" w:rsidRPr="00325B0D" w:rsidRDefault="008C3E50" w:rsidP="008C3E50">
            <w:pPr>
              <w:pStyle w:val="TableText0"/>
              <w:rPr>
                <w:rFonts w:cstheme="minorHAnsi"/>
                <w:sz w:val="20"/>
                <w:szCs w:val="20"/>
              </w:rPr>
            </w:pPr>
            <w:r w:rsidRPr="00325B0D">
              <w:rPr>
                <w:rFonts w:cstheme="minorHAnsi"/>
                <w:sz w:val="20"/>
                <w:szCs w:val="20"/>
              </w:rPr>
              <w:t>7.8</w:t>
            </w:r>
          </w:p>
        </w:tc>
        <w:tc>
          <w:tcPr>
            <w:tcW w:w="0" w:type="auto"/>
            <w:tcMar>
              <w:left w:w="108" w:type="dxa"/>
              <w:right w:w="108" w:type="dxa"/>
            </w:tcMar>
          </w:tcPr>
          <w:p w14:paraId="5611CDDC" w14:textId="3A2F59E1"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041365D0" w14:textId="6F085259" w:rsidR="008C3E50" w:rsidRPr="00325B0D" w:rsidRDefault="008C3E50" w:rsidP="008C3E50">
            <w:pPr>
              <w:pStyle w:val="TableText0"/>
              <w:rPr>
                <w:rFonts w:cstheme="minorHAnsi"/>
                <w:sz w:val="20"/>
                <w:szCs w:val="20"/>
              </w:rPr>
            </w:pPr>
            <w:r w:rsidRPr="00325B0D">
              <w:rPr>
                <w:rFonts w:cstheme="minorHAnsi"/>
                <w:sz w:val="20"/>
                <w:szCs w:val="20"/>
              </w:rPr>
              <w:t>Wen et al. 2016</w:t>
            </w:r>
          </w:p>
        </w:tc>
      </w:tr>
      <w:tr w:rsidR="008C3E50" w14:paraId="26740462" w14:textId="77777777" w:rsidTr="00DB23E4">
        <w:tc>
          <w:tcPr>
            <w:tcW w:w="0" w:type="auto"/>
            <w:vMerge/>
          </w:tcPr>
          <w:p w14:paraId="5EF48982" w14:textId="77777777" w:rsidR="008C3E50" w:rsidRDefault="008C3E50" w:rsidP="008C3E50">
            <w:pPr>
              <w:pStyle w:val="TableText0"/>
            </w:pPr>
          </w:p>
        </w:tc>
        <w:tc>
          <w:tcPr>
            <w:tcW w:w="0" w:type="auto"/>
            <w:tcMar>
              <w:left w:w="108" w:type="dxa"/>
              <w:right w:w="108" w:type="dxa"/>
            </w:tcMar>
          </w:tcPr>
          <w:p w14:paraId="664C22C1" w14:textId="5CF074DC" w:rsidR="008C3E50" w:rsidRPr="00325B0D" w:rsidRDefault="008C3E50" w:rsidP="008C3E50">
            <w:pPr>
              <w:pStyle w:val="TableText0"/>
              <w:rPr>
                <w:rFonts w:cstheme="minorHAnsi"/>
                <w:sz w:val="20"/>
                <w:szCs w:val="20"/>
              </w:rPr>
            </w:pPr>
            <w:r w:rsidRPr="00325B0D">
              <w:rPr>
                <w:rFonts w:cstheme="minorHAnsi"/>
                <w:sz w:val="20"/>
                <w:szCs w:val="20"/>
              </w:rPr>
              <w:t>Ryegrass</w:t>
            </w:r>
          </w:p>
        </w:tc>
        <w:tc>
          <w:tcPr>
            <w:tcW w:w="0" w:type="auto"/>
            <w:tcMar>
              <w:left w:w="108" w:type="dxa"/>
              <w:right w:w="108" w:type="dxa"/>
            </w:tcMar>
          </w:tcPr>
          <w:p w14:paraId="11DE40D9" w14:textId="54019777" w:rsidR="008C3E50" w:rsidRPr="00325B0D" w:rsidRDefault="008C3E50" w:rsidP="008C3E50">
            <w:pPr>
              <w:pStyle w:val="TableText0"/>
              <w:rPr>
                <w:rFonts w:cstheme="minorHAnsi"/>
                <w:sz w:val="20"/>
                <w:szCs w:val="20"/>
              </w:rPr>
            </w:pPr>
            <w:r w:rsidRPr="00325B0D">
              <w:rPr>
                <w:rFonts w:cstheme="minorHAnsi"/>
                <w:sz w:val="20"/>
                <w:szCs w:val="20"/>
              </w:rPr>
              <w:t>2.4</w:t>
            </w:r>
          </w:p>
        </w:tc>
        <w:tc>
          <w:tcPr>
            <w:tcW w:w="0" w:type="auto"/>
            <w:tcMar>
              <w:left w:w="108" w:type="dxa"/>
              <w:right w:w="108" w:type="dxa"/>
            </w:tcMar>
          </w:tcPr>
          <w:p w14:paraId="166A8C8B" w14:textId="4FDAEFD6"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109E5D75" w14:textId="4E023108" w:rsidR="008C3E50" w:rsidRPr="00325B0D" w:rsidRDefault="008C3E50" w:rsidP="008C3E50">
            <w:pPr>
              <w:pStyle w:val="TableText0"/>
              <w:rPr>
                <w:rFonts w:cstheme="minorHAnsi"/>
                <w:sz w:val="20"/>
                <w:szCs w:val="20"/>
              </w:rPr>
            </w:pPr>
            <w:r w:rsidRPr="00325B0D">
              <w:rPr>
                <w:rFonts w:cstheme="minorHAnsi"/>
                <w:sz w:val="20"/>
                <w:szCs w:val="20"/>
              </w:rPr>
              <w:t>Wen et al. 2016</w:t>
            </w:r>
          </w:p>
        </w:tc>
      </w:tr>
      <w:tr w:rsidR="008C3E50" w14:paraId="72F75364" w14:textId="77777777" w:rsidTr="00DB23E4">
        <w:tc>
          <w:tcPr>
            <w:tcW w:w="0" w:type="auto"/>
            <w:vMerge/>
          </w:tcPr>
          <w:p w14:paraId="4BD8E3E4" w14:textId="77777777" w:rsidR="008C3E50" w:rsidRDefault="008C3E50" w:rsidP="008C3E50">
            <w:pPr>
              <w:pStyle w:val="TableText0"/>
            </w:pPr>
          </w:p>
        </w:tc>
        <w:tc>
          <w:tcPr>
            <w:tcW w:w="0" w:type="auto"/>
            <w:tcMar>
              <w:left w:w="108" w:type="dxa"/>
              <w:right w:w="108" w:type="dxa"/>
            </w:tcMar>
          </w:tcPr>
          <w:p w14:paraId="5AAB75D2" w14:textId="7084367B" w:rsidR="008C3E50" w:rsidRPr="00325B0D" w:rsidRDefault="008C3E50" w:rsidP="008C3E50">
            <w:pPr>
              <w:pStyle w:val="TableText0"/>
              <w:rPr>
                <w:rFonts w:cstheme="minorHAnsi"/>
                <w:sz w:val="20"/>
                <w:szCs w:val="20"/>
              </w:rPr>
            </w:pPr>
            <w:r w:rsidRPr="00325B0D">
              <w:rPr>
                <w:rFonts w:cstheme="minorHAnsi"/>
                <w:sz w:val="20"/>
                <w:szCs w:val="20"/>
              </w:rPr>
              <w:t>Soybean</w:t>
            </w:r>
          </w:p>
        </w:tc>
        <w:tc>
          <w:tcPr>
            <w:tcW w:w="0" w:type="auto"/>
            <w:tcMar>
              <w:left w:w="108" w:type="dxa"/>
              <w:right w:w="108" w:type="dxa"/>
            </w:tcMar>
          </w:tcPr>
          <w:p w14:paraId="7ED3EAE0" w14:textId="5B7AEABA" w:rsidR="008C3E50" w:rsidRPr="00325B0D" w:rsidRDefault="008C3E50" w:rsidP="008C3E50">
            <w:pPr>
              <w:pStyle w:val="TableText0"/>
              <w:rPr>
                <w:rFonts w:cstheme="minorHAnsi"/>
                <w:sz w:val="20"/>
                <w:szCs w:val="20"/>
              </w:rPr>
            </w:pPr>
            <w:r w:rsidRPr="00325B0D">
              <w:rPr>
                <w:rFonts w:cstheme="minorHAnsi"/>
                <w:sz w:val="20"/>
                <w:szCs w:val="20"/>
              </w:rPr>
              <w:t>3.2</w:t>
            </w:r>
          </w:p>
        </w:tc>
        <w:tc>
          <w:tcPr>
            <w:tcW w:w="0" w:type="auto"/>
            <w:tcMar>
              <w:left w:w="108" w:type="dxa"/>
              <w:right w:w="108" w:type="dxa"/>
            </w:tcMar>
          </w:tcPr>
          <w:p w14:paraId="22E6A1AA" w14:textId="3064717E"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04D4CE34" w14:textId="20B9E094" w:rsidR="008C3E50" w:rsidRPr="00325B0D" w:rsidRDefault="008C3E50" w:rsidP="008C3E50">
            <w:pPr>
              <w:pStyle w:val="TableText0"/>
              <w:rPr>
                <w:rFonts w:cstheme="minorHAnsi"/>
                <w:sz w:val="20"/>
                <w:szCs w:val="20"/>
              </w:rPr>
            </w:pPr>
            <w:r w:rsidRPr="00325B0D">
              <w:rPr>
                <w:rFonts w:cstheme="minorHAnsi"/>
                <w:sz w:val="20"/>
                <w:szCs w:val="20"/>
              </w:rPr>
              <w:t>Wen et al. 2016</w:t>
            </w:r>
          </w:p>
        </w:tc>
      </w:tr>
      <w:tr w:rsidR="008C3E50" w14:paraId="5DEFBAC9" w14:textId="77777777" w:rsidTr="00DB23E4">
        <w:tc>
          <w:tcPr>
            <w:tcW w:w="0" w:type="auto"/>
            <w:vMerge/>
          </w:tcPr>
          <w:p w14:paraId="15470D81" w14:textId="77777777" w:rsidR="008C3E50" w:rsidRDefault="008C3E50" w:rsidP="008C3E50">
            <w:pPr>
              <w:pStyle w:val="TableText0"/>
            </w:pPr>
          </w:p>
        </w:tc>
        <w:tc>
          <w:tcPr>
            <w:tcW w:w="0" w:type="auto"/>
            <w:tcMar>
              <w:left w:w="108" w:type="dxa"/>
              <w:right w:w="108" w:type="dxa"/>
            </w:tcMar>
          </w:tcPr>
          <w:p w14:paraId="61DDD02C" w14:textId="35891EDF" w:rsidR="008C3E50" w:rsidRPr="00325B0D" w:rsidRDefault="008C3E50" w:rsidP="008C3E50">
            <w:pPr>
              <w:pStyle w:val="TableText0"/>
              <w:rPr>
                <w:rFonts w:cstheme="minorHAnsi"/>
                <w:sz w:val="20"/>
                <w:szCs w:val="20"/>
              </w:rPr>
            </w:pPr>
            <w:r w:rsidRPr="00325B0D">
              <w:rPr>
                <w:rFonts w:cstheme="minorHAnsi"/>
                <w:sz w:val="20"/>
                <w:szCs w:val="20"/>
              </w:rPr>
              <w:t>Wheat</w:t>
            </w:r>
          </w:p>
        </w:tc>
        <w:tc>
          <w:tcPr>
            <w:tcW w:w="0" w:type="auto"/>
            <w:tcMar>
              <w:left w:w="108" w:type="dxa"/>
              <w:right w:w="108" w:type="dxa"/>
            </w:tcMar>
          </w:tcPr>
          <w:p w14:paraId="15881EAC" w14:textId="7C3F3D41" w:rsidR="008C3E50" w:rsidRPr="00325B0D" w:rsidRDefault="008C3E50" w:rsidP="008C3E50">
            <w:pPr>
              <w:pStyle w:val="TableText0"/>
              <w:rPr>
                <w:rFonts w:cstheme="minorHAnsi"/>
                <w:sz w:val="20"/>
                <w:szCs w:val="20"/>
              </w:rPr>
            </w:pPr>
            <w:r w:rsidRPr="00325B0D">
              <w:rPr>
                <w:rFonts w:cstheme="minorHAnsi"/>
                <w:sz w:val="20"/>
                <w:szCs w:val="20"/>
              </w:rPr>
              <w:t xml:space="preserve">1.7 </w:t>
            </w:r>
            <w:r w:rsidRPr="00325B0D">
              <w:rPr>
                <w:rFonts w:cs="Arial"/>
                <w:sz w:val="20"/>
                <w:szCs w:val="20"/>
              </w:rPr>
              <w:t>–</w:t>
            </w:r>
            <w:r w:rsidRPr="00325B0D">
              <w:rPr>
                <w:rFonts w:cstheme="minorHAnsi"/>
                <w:sz w:val="20"/>
                <w:szCs w:val="20"/>
              </w:rPr>
              <w:t xml:space="preserve"> 4.9</w:t>
            </w:r>
          </w:p>
        </w:tc>
        <w:tc>
          <w:tcPr>
            <w:tcW w:w="0" w:type="auto"/>
            <w:tcMar>
              <w:left w:w="108" w:type="dxa"/>
              <w:right w:w="108" w:type="dxa"/>
            </w:tcMar>
          </w:tcPr>
          <w:p w14:paraId="220D7B89" w14:textId="1482C25C"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7A490272" w14:textId="475F2198" w:rsidR="008C3E50" w:rsidRPr="00325B0D" w:rsidRDefault="008C3E50" w:rsidP="008C3E50">
            <w:pPr>
              <w:pStyle w:val="TableText0"/>
              <w:rPr>
                <w:rFonts w:cstheme="minorHAnsi"/>
                <w:sz w:val="20"/>
                <w:szCs w:val="20"/>
              </w:rPr>
            </w:pPr>
            <w:r w:rsidRPr="00325B0D">
              <w:rPr>
                <w:rFonts w:cstheme="minorHAnsi"/>
                <w:sz w:val="20"/>
                <w:szCs w:val="20"/>
              </w:rPr>
              <w:t>Wen et al. 2014</w:t>
            </w:r>
          </w:p>
        </w:tc>
      </w:tr>
      <w:tr w:rsidR="008C3E50" w14:paraId="15E246A5" w14:textId="77777777" w:rsidTr="00DB23E4">
        <w:tc>
          <w:tcPr>
            <w:tcW w:w="0" w:type="auto"/>
            <w:vMerge/>
          </w:tcPr>
          <w:p w14:paraId="50DD9619" w14:textId="77777777" w:rsidR="008C3E50" w:rsidRDefault="008C3E50" w:rsidP="008C3E50">
            <w:pPr>
              <w:pStyle w:val="TableText0"/>
            </w:pPr>
          </w:p>
        </w:tc>
        <w:tc>
          <w:tcPr>
            <w:tcW w:w="0" w:type="auto"/>
            <w:tcMar>
              <w:left w:w="108" w:type="dxa"/>
              <w:right w:w="108" w:type="dxa"/>
            </w:tcMar>
          </w:tcPr>
          <w:p w14:paraId="5FD41831" w14:textId="2367C8F8" w:rsidR="008C3E50" w:rsidRPr="00325B0D" w:rsidRDefault="008C3E50" w:rsidP="008C3E50">
            <w:pPr>
              <w:pStyle w:val="TableText0"/>
              <w:rPr>
                <w:rFonts w:cstheme="minorHAnsi"/>
                <w:sz w:val="20"/>
                <w:szCs w:val="20"/>
              </w:rPr>
            </w:pPr>
            <w:r w:rsidRPr="00325B0D">
              <w:rPr>
                <w:rFonts w:cstheme="minorHAnsi"/>
                <w:sz w:val="20"/>
                <w:szCs w:val="20"/>
              </w:rPr>
              <w:t>Wheat</w:t>
            </w:r>
          </w:p>
        </w:tc>
        <w:tc>
          <w:tcPr>
            <w:tcW w:w="0" w:type="auto"/>
            <w:tcMar>
              <w:left w:w="108" w:type="dxa"/>
              <w:right w:w="108" w:type="dxa"/>
            </w:tcMar>
          </w:tcPr>
          <w:p w14:paraId="66B10B35" w14:textId="0ADDCDEA" w:rsidR="008C3E50" w:rsidRPr="00325B0D" w:rsidRDefault="008C3E50" w:rsidP="008C3E50">
            <w:pPr>
              <w:pStyle w:val="TableText0"/>
              <w:rPr>
                <w:rFonts w:cstheme="minorHAnsi"/>
                <w:sz w:val="20"/>
                <w:szCs w:val="20"/>
              </w:rPr>
            </w:pPr>
            <w:r w:rsidRPr="00325B0D">
              <w:rPr>
                <w:rFonts w:cstheme="minorHAnsi"/>
                <w:sz w:val="20"/>
                <w:szCs w:val="20"/>
              </w:rPr>
              <w:t xml:space="preserve">1.1 </w:t>
            </w:r>
            <w:r w:rsidRPr="00325B0D">
              <w:rPr>
                <w:rFonts w:cs="Arial"/>
                <w:sz w:val="20"/>
                <w:szCs w:val="20"/>
              </w:rPr>
              <w:t>–</w:t>
            </w:r>
            <w:r w:rsidRPr="00325B0D">
              <w:rPr>
                <w:rFonts w:cstheme="minorHAnsi"/>
                <w:sz w:val="20"/>
                <w:szCs w:val="20"/>
              </w:rPr>
              <w:t xml:space="preserve"> 2.3</w:t>
            </w:r>
          </w:p>
        </w:tc>
        <w:tc>
          <w:tcPr>
            <w:tcW w:w="0" w:type="auto"/>
            <w:tcMar>
              <w:left w:w="108" w:type="dxa"/>
              <w:right w:w="108" w:type="dxa"/>
            </w:tcMar>
          </w:tcPr>
          <w:p w14:paraId="3107D050" w14:textId="4FCB3BCD"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13CF61A9" w14:textId="2A488E40" w:rsidR="008C3E50" w:rsidRPr="00325B0D" w:rsidRDefault="008C3E50" w:rsidP="008C3E50">
            <w:pPr>
              <w:pStyle w:val="TableText0"/>
              <w:rPr>
                <w:rFonts w:cstheme="minorHAnsi"/>
                <w:sz w:val="20"/>
                <w:szCs w:val="20"/>
              </w:rPr>
            </w:pPr>
            <w:r w:rsidRPr="00325B0D">
              <w:rPr>
                <w:rFonts w:cstheme="minorHAnsi"/>
                <w:sz w:val="20"/>
                <w:szCs w:val="20"/>
              </w:rPr>
              <w:t>Zhao et al. 2014</w:t>
            </w:r>
          </w:p>
        </w:tc>
      </w:tr>
      <w:tr w:rsidR="008C3E50" w14:paraId="553208A1" w14:textId="77777777" w:rsidTr="00DB23E4">
        <w:tc>
          <w:tcPr>
            <w:tcW w:w="0" w:type="auto"/>
            <w:vMerge w:val="restart"/>
          </w:tcPr>
          <w:p w14:paraId="24BCEEE7" w14:textId="77777777" w:rsidR="008C3E50" w:rsidRDefault="008C3E50" w:rsidP="008C3E50">
            <w:pPr>
              <w:pStyle w:val="TableText0"/>
            </w:pPr>
            <w:r>
              <w:t xml:space="preserve">Grains </w:t>
            </w:r>
          </w:p>
        </w:tc>
        <w:tc>
          <w:tcPr>
            <w:tcW w:w="0" w:type="auto"/>
            <w:tcMar>
              <w:left w:w="108" w:type="dxa"/>
              <w:right w:w="108" w:type="dxa"/>
            </w:tcMar>
          </w:tcPr>
          <w:p w14:paraId="7F25C7EA" w14:textId="4D8F42F5" w:rsidR="008C3E50" w:rsidRPr="00325B0D" w:rsidRDefault="008C3E50" w:rsidP="008C3E50">
            <w:pPr>
              <w:pStyle w:val="TableText0"/>
              <w:rPr>
                <w:rFonts w:cstheme="minorHAnsi"/>
                <w:sz w:val="20"/>
                <w:szCs w:val="20"/>
              </w:rPr>
            </w:pPr>
            <w:r w:rsidRPr="00325B0D">
              <w:rPr>
                <w:rFonts w:cstheme="minorHAnsi"/>
                <w:sz w:val="20"/>
                <w:szCs w:val="20"/>
              </w:rPr>
              <w:t>Oats</w:t>
            </w:r>
          </w:p>
        </w:tc>
        <w:tc>
          <w:tcPr>
            <w:tcW w:w="0" w:type="auto"/>
            <w:tcMar>
              <w:left w:w="108" w:type="dxa"/>
              <w:right w:w="108" w:type="dxa"/>
            </w:tcMar>
          </w:tcPr>
          <w:p w14:paraId="67735E75" w14:textId="3F72AA41" w:rsidR="008C3E50" w:rsidRPr="00325B0D" w:rsidRDefault="008C3E50" w:rsidP="008C3E50">
            <w:pPr>
              <w:pStyle w:val="TableText0"/>
              <w:rPr>
                <w:rFonts w:cstheme="minorHAnsi"/>
                <w:sz w:val="20"/>
                <w:szCs w:val="20"/>
              </w:rPr>
            </w:pPr>
            <w:r w:rsidRPr="00325B0D">
              <w:rPr>
                <w:rFonts w:cstheme="minorHAnsi"/>
                <w:sz w:val="20"/>
                <w:szCs w:val="20"/>
              </w:rPr>
              <w:t xml:space="preserve">0.03 </w:t>
            </w:r>
            <w:r w:rsidRPr="00325B0D">
              <w:rPr>
                <w:rFonts w:cs="Arial"/>
                <w:sz w:val="20"/>
                <w:szCs w:val="20"/>
              </w:rPr>
              <w:t>–</w:t>
            </w:r>
            <w:r w:rsidRPr="00325B0D">
              <w:rPr>
                <w:rFonts w:cstheme="minorHAnsi"/>
                <w:sz w:val="20"/>
                <w:szCs w:val="20"/>
              </w:rPr>
              <w:t xml:space="preserve"> 0.1</w:t>
            </w:r>
          </w:p>
        </w:tc>
        <w:tc>
          <w:tcPr>
            <w:tcW w:w="0" w:type="auto"/>
            <w:tcMar>
              <w:left w:w="108" w:type="dxa"/>
              <w:right w:w="108" w:type="dxa"/>
            </w:tcMar>
          </w:tcPr>
          <w:p w14:paraId="4FFB917C" w14:textId="1807CE31"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010919DE" w14:textId="3E691044" w:rsidR="008C3E50" w:rsidRPr="00325B0D" w:rsidRDefault="008C3E50" w:rsidP="008C3E50">
            <w:pPr>
              <w:pStyle w:val="TableText0"/>
              <w:rPr>
                <w:rFonts w:cstheme="minorHAnsi"/>
                <w:sz w:val="20"/>
                <w:szCs w:val="20"/>
              </w:rPr>
            </w:pPr>
            <w:r w:rsidRPr="00325B0D">
              <w:rPr>
                <w:rFonts w:cstheme="minorHAnsi"/>
                <w:sz w:val="20"/>
                <w:szCs w:val="20"/>
              </w:rPr>
              <w:t>Stahl et al. 2009</w:t>
            </w:r>
          </w:p>
        </w:tc>
      </w:tr>
      <w:tr w:rsidR="008C3E50" w14:paraId="1DDC9EF8" w14:textId="77777777" w:rsidTr="00DB23E4">
        <w:tc>
          <w:tcPr>
            <w:tcW w:w="0" w:type="auto"/>
            <w:vMerge/>
          </w:tcPr>
          <w:p w14:paraId="7B81DE0E" w14:textId="77777777" w:rsidR="008C3E50" w:rsidRDefault="008C3E50" w:rsidP="008C3E50">
            <w:pPr>
              <w:pStyle w:val="TableText0"/>
            </w:pPr>
          </w:p>
        </w:tc>
        <w:tc>
          <w:tcPr>
            <w:tcW w:w="0" w:type="auto"/>
            <w:tcMar>
              <w:left w:w="108" w:type="dxa"/>
              <w:right w:w="108" w:type="dxa"/>
            </w:tcMar>
          </w:tcPr>
          <w:p w14:paraId="4030B506" w14:textId="603B4D4E" w:rsidR="008C3E50" w:rsidRPr="00325B0D" w:rsidRDefault="008C3E50" w:rsidP="008C3E50">
            <w:pPr>
              <w:pStyle w:val="TableText0"/>
              <w:rPr>
                <w:rFonts w:cstheme="minorHAnsi"/>
                <w:sz w:val="20"/>
                <w:szCs w:val="20"/>
              </w:rPr>
            </w:pPr>
            <w:r w:rsidRPr="00325B0D">
              <w:rPr>
                <w:rFonts w:cstheme="minorHAnsi"/>
                <w:sz w:val="20"/>
                <w:szCs w:val="20"/>
              </w:rPr>
              <w:t>Maize</w:t>
            </w:r>
          </w:p>
        </w:tc>
        <w:tc>
          <w:tcPr>
            <w:tcW w:w="0" w:type="auto"/>
            <w:tcMar>
              <w:left w:w="108" w:type="dxa"/>
              <w:right w:w="108" w:type="dxa"/>
            </w:tcMar>
          </w:tcPr>
          <w:p w14:paraId="279D7D6D" w14:textId="60AE6958" w:rsidR="008C3E50" w:rsidRPr="00325B0D" w:rsidRDefault="008C3E50" w:rsidP="008C3E50">
            <w:pPr>
              <w:pStyle w:val="TableText0"/>
              <w:rPr>
                <w:rFonts w:cstheme="minorHAnsi"/>
                <w:sz w:val="20"/>
                <w:szCs w:val="20"/>
              </w:rPr>
            </w:pPr>
            <w:r w:rsidRPr="00325B0D">
              <w:rPr>
                <w:rFonts w:cstheme="minorHAnsi"/>
                <w:sz w:val="20"/>
                <w:szCs w:val="20"/>
              </w:rPr>
              <w:t xml:space="preserve">0.003 </w:t>
            </w:r>
            <w:r w:rsidRPr="00325B0D">
              <w:rPr>
                <w:rFonts w:cs="Arial"/>
                <w:sz w:val="20"/>
                <w:szCs w:val="20"/>
              </w:rPr>
              <w:t>–</w:t>
            </w:r>
            <w:r w:rsidRPr="00325B0D">
              <w:rPr>
                <w:rFonts w:cstheme="minorHAnsi"/>
                <w:sz w:val="20"/>
                <w:szCs w:val="20"/>
              </w:rPr>
              <w:t xml:space="preserve"> 0.009</w:t>
            </w:r>
          </w:p>
        </w:tc>
        <w:tc>
          <w:tcPr>
            <w:tcW w:w="0" w:type="auto"/>
            <w:tcMar>
              <w:left w:w="108" w:type="dxa"/>
              <w:right w:w="108" w:type="dxa"/>
            </w:tcMar>
          </w:tcPr>
          <w:p w14:paraId="5FE174B2" w14:textId="59B94FD4"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6746B00C" w14:textId="4E4CBD59" w:rsidR="008C3E50" w:rsidRPr="00325B0D" w:rsidRDefault="008C3E50" w:rsidP="008C3E50">
            <w:pPr>
              <w:pStyle w:val="TableText0"/>
              <w:rPr>
                <w:rFonts w:cstheme="minorHAnsi"/>
                <w:sz w:val="20"/>
                <w:szCs w:val="20"/>
              </w:rPr>
            </w:pPr>
            <w:r w:rsidRPr="00325B0D">
              <w:rPr>
                <w:rFonts w:cstheme="minorHAnsi"/>
                <w:sz w:val="20"/>
                <w:szCs w:val="20"/>
              </w:rPr>
              <w:t>Stahl et al. 2009</w:t>
            </w:r>
          </w:p>
        </w:tc>
      </w:tr>
      <w:tr w:rsidR="008C3E50" w14:paraId="3D61F55F" w14:textId="77777777" w:rsidTr="00DB23E4">
        <w:tc>
          <w:tcPr>
            <w:tcW w:w="0" w:type="auto"/>
            <w:vMerge/>
          </w:tcPr>
          <w:p w14:paraId="33CB4512" w14:textId="77777777" w:rsidR="008C3E50" w:rsidRDefault="008C3E50" w:rsidP="008C3E50">
            <w:pPr>
              <w:pStyle w:val="TableText0"/>
            </w:pPr>
          </w:p>
        </w:tc>
        <w:tc>
          <w:tcPr>
            <w:tcW w:w="0" w:type="auto"/>
            <w:tcMar>
              <w:left w:w="108" w:type="dxa"/>
              <w:right w:w="108" w:type="dxa"/>
            </w:tcMar>
          </w:tcPr>
          <w:p w14:paraId="18258721" w14:textId="7D40AA7A" w:rsidR="008C3E50" w:rsidRPr="00325B0D" w:rsidRDefault="008C3E50" w:rsidP="008C3E50">
            <w:pPr>
              <w:pStyle w:val="TableText0"/>
              <w:rPr>
                <w:rFonts w:cstheme="minorHAnsi"/>
                <w:sz w:val="20"/>
                <w:szCs w:val="20"/>
              </w:rPr>
            </w:pPr>
            <w:r w:rsidRPr="00325B0D">
              <w:rPr>
                <w:rFonts w:cstheme="minorHAnsi"/>
                <w:sz w:val="20"/>
                <w:szCs w:val="20"/>
              </w:rPr>
              <w:t>Wheat</w:t>
            </w:r>
          </w:p>
        </w:tc>
        <w:tc>
          <w:tcPr>
            <w:tcW w:w="0" w:type="auto"/>
            <w:tcMar>
              <w:left w:w="108" w:type="dxa"/>
              <w:right w:w="108" w:type="dxa"/>
            </w:tcMar>
          </w:tcPr>
          <w:p w14:paraId="72BDAA51" w14:textId="06CE78E9" w:rsidR="008C3E50" w:rsidRPr="00325B0D" w:rsidRDefault="008C3E50" w:rsidP="008C3E50">
            <w:pPr>
              <w:pStyle w:val="TableText0"/>
              <w:rPr>
                <w:rFonts w:cstheme="minorHAnsi"/>
                <w:sz w:val="20"/>
                <w:szCs w:val="20"/>
              </w:rPr>
            </w:pPr>
            <w:r w:rsidRPr="00325B0D">
              <w:rPr>
                <w:rFonts w:cstheme="minorHAnsi"/>
                <w:sz w:val="20"/>
                <w:szCs w:val="20"/>
              </w:rPr>
              <w:t xml:space="preserve">0.009 </w:t>
            </w:r>
            <w:r w:rsidRPr="00325B0D">
              <w:rPr>
                <w:rFonts w:cs="Arial"/>
                <w:sz w:val="20"/>
                <w:szCs w:val="20"/>
              </w:rPr>
              <w:t>–</w:t>
            </w:r>
            <w:r w:rsidRPr="00325B0D">
              <w:rPr>
                <w:rFonts w:cstheme="minorHAnsi"/>
                <w:sz w:val="20"/>
                <w:szCs w:val="20"/>
              </w:rPr>
              <w:t xml:space="preserve"> 0.1</w:t>
            </w:r>
          </w:p>
        </w:tc>
        <w:tc>
          <w:tcPr>
            <w:tcW w:w="0" w:type="auto"/>
            <w:tcMar>
              <w:left w:w="108" w:type="dxa"/>
              <w:right w:w="108" w:type="dxa"/>
            </w:tcMar>
          </w:tcPr>
          <w:p w14:paraId="713BE181" w14:textId="5D212270"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21470A46" w14:textId="51A94F33" w:rsidR="008C3E50" w:rsidRPr="00325B0D" w:rsidRDefault="008C3E50" w:rsidP="008C3E50">
            <w:pPr>
              <w:pStyle w:val="TableText0"/>
              <w:rPr>
                <w:rFonts w:cstheme="minorHAnsi"/>
                <w:sz w:val="20"/>
                <w:szCs w:val="20"/>
              </w:rPr>
            </w:pPr>
            <w:r w:rsidRPr="00325B0D">
              <w:rPr>
                <w:rFonts w:cstheme="minorHAnsi"/>
                <w:sz w:val="20"/>
                <w:szCs w:val="20"/>
              </w:rPr>
              <w:t>Stahl et al. 2009</w:t>
            </w:r>
          </w:p>
        </w:tc>
      </w:tr>
      <w:tr w:rsidR="008C3E50" w14:paraId="44DAB828" w14:textId="77777777" w:rsidTr="00DB23E4">
        <w:tc>
          <w:tcPr>
            <w:tcW w:w="0" w:type="auto"/>
            <w:vMerge/>
          </w:tcPr>
          <w:p w14:paraId="720F2476" w14:textId="77777777" w:rsidR="008C3E50" w:rsidRDefault="008C3E50" w:rsidP="008C3E50">
            <w:pPr>
              <w:pStyle w:val="TableText0"/>
            </w:pPr>
          </w:p>
        </w:tc>
        <w:tc>
          <w:tcPr>
            <w:tcW w:w="0" w:type="auto"/>
            <w:tcMar>
              <w:left w:w="108" w:type="dxa"/>
              <w:right w:w="108" w:type="dxa"/>
            </w:tcMar>
          </w:tcPr>
          <w:p w14:paraId="49F6B2BC" w14:textId="0D6B3354" w:rsidR="008C3E50" w:rsidRPr="00325B0D" w:rsidRDefault="008C3E50" w:rsidP="008C3E50">
            <w:pPr>
              <w:pStyle w:val="TableText0"/>
              <w:rPr>
                <w:rFonts w:cstheme="minorHAnsi"/>
                <w:sz w:val="20"/>
                <w:szCs w:val="20"/>
              </w:rPr>
            </w:pPr>
            <w:r w:rsidRPr="00325B0D">
              <w:rPr>
                <w:rFonts w:cstheme="minorHAnsi"/>
                <w:sz w:val="20"/>
                <w:szCs w:val="20"/>
              </w:rPr>
              <w:t>Wheat</w:t>
            </w:r>
          </w:p>
        </w:tc>
        <w:tc>
          <w:tcPr>
            <w:tcW w:w="0" w:type="auto"/>
            <w:tcMar>
              <w:left w:w="108" w:type="dxa"/>
              <w:right w:w="108" w:type="dxa"/>
            </w:tcMar>
          </w:tcPr>
          <w:p w14:paraId="1833B77B" w14:textId="6FFEC6F3" w:rsidR="008C3E50" w:rsidRPr="00325B0D" w:rsidRDefault="008C3E50" w:rsidP="008C3E50">
            <w:pPr>
              <w:pStyle w:val="TableText0"/>
              <w:rPr>
                <w:rFonts w:cstheme="minorHAnsi"/>
                <w:sz w:val="20"/>
                <w:szCs w:val="20"/>
              </w:rPr>
            </w:pPr>
            <w:r w:rsidRPr="00325B0D">
              <w:rPr>
                <w:rFonts w:cstheme="minorHAnsi"/>
                <w:sz w:val="20"/>
                <w:szCs w:val="20"/>
              </w:rPr>
              <w:t xml:space="preserve">0.1 </w:t>
            </w:r>
            <w:r w:rsidRPr="00325B0D">
              <w:rPr>
                <w:rFonts w:cs="Arial"/>
                <w:sz w:val="20"/>
                <w:szCs w:val="20"/>
              </w:rPr>
              <w:t>–</w:t>
            </w:r>
            <w:r w:rsidRPr="00325B0D">
              <w:rPr>
                <w:rFonts w:cstheme="minorHAnsi"/>
                <w:sz w:val="20"/>
                <w:szCs w:val="20"/>
              </w:rPr>
              <w:t xml:space="preserve"> 0.2</w:t>
            </w:r>
          </w:p>
        </w:tc>
        <w:tc>
          <w:tcPr>
            <w:tcW w:w="0" w:type="auto"/>
            <w:tcMar>
              <w:left w:w="108" w:type="dxa"/>
              <w:right w:w="108" w:type="dxa"/>
            </w:tcMar>
          </w:tcPr>
          <w:p w14:paraId="1312B3B7" w14:textId="123461F3" w:rsidR="008C3E50" w:rsidRPr="00325B0D" w:rsidRDefault="008C3E50" w:rsidP="008C3E50">
            <w:pPr>
              <w:pStyle w:val="TableText0"/>
              <w:rPr>
                <w:rFonts w:cstheme="minorHAnsi"/>
                <w:sz w:val="20"/>
                <w:szCs w:val="20"/>
              </w:rPr>
            </w:pPr>
            <w:r w:rsidRPr="00325B0D">
              <w:rPr>
                <w:rFonts w:cstheme="minorHAnsi"/>
                <w:sz w:val="20"/>
                <w:szCs w:val="20"/>
              </w:rPr>
              <w:t>DW</w:t>
            </w:r>
          </w:p>
        </w:tc>
        <w:tc>
          <w:tcPr>
            <w:tcW w:w="0" w:type="auto"/>
            <w:tcMar>
              <w:left w:w="108" w:type="dxa"/>
              <w:right w:w="108" w:type="dxa"/>
            </w:tcMar>
          </w:tcPr>
          <w:p w14:paraId="4F8538A3" w14:textId="1D2902FC" w:rsidR="008C3E50" w:rsidRPr="00325B0D" w:rsidRDefault="008C3E50" w:rsidP="008C3E50">
            <w:pPr>
              <w:pStyle w:val="TableText0"/>
              <w:rPr>
                <w:rFonts w:cstheme="minorHAnsi"/>
                <w:sz w:val="20"/>
                <w:szCs w:val="20"/>
              </w:rPr>
            </w:pPr>
            <w:r w:rsidRPr="00325B0D">
              <w:rPr>
                <w:rFonts w:cstheme="minorHAnsi"/>
                <w:sz w:val="20"/>
                <w:szCs w:val="20"/>
              </w:rPr>
              <w:t>Wen et al. 2014</w:t>
            </w:r>
          </w:p>
        </w:tc>
      </w:tr>
    </w:tbl>
    <w:p w14:paraId="7BDC34F1" w14:textId="77777777" w:rsidR="008C3E50" w:rsidRPr="004636DE" w:rsidRDefault="008C3E50" w:rsidP="008C3E50">
      <w:pPr>
        <w:pStyle w:val="Normalsmall"/>
        <w:rPr>
          <w:sz w:val="20"/>
          <w:szCs w:val="20"/>
          <w:lang w:eastAsia="ja-JP"/>
        </w:rPr>
      </w:pPr>
      <w:r w:rsidRPr="004636DE">
        <w:rPr>
          <w:sz w:val="20"/>
          <w:szCs w:val="20"/>
          <w:lang w:eastAsia="ja-JP"/>
        </w:rPr>
        <w:t>Notes</w:t>
      </w:r>
    </w:p>
    <w:p w14:paraId="49E7EA86" w14:textId="613655E8" w:rsidR="008C3E50" w:rsidRPr="004636DE" w:rsidRDefault="008C3E50" w:rsidP="008C3E50">
      <w:pPr>
        <w:pStyle w:val="Normalsmall"/>
        <w:rPr>
          <w:sz w:val="20"/>
          <w:szCs w:val="20"/>
        </w:rPr>
      </w:pPr>
      <w:r w:rsidRPr="00C746FF">
        <w:rPr>
          <w:sz w:val="20"/>
          <w:szCs w:val="20"/>
          <w:vertAlign w:val="superscript"/>
          <w:lang w:eastAsia="ja-JP"/>
        </w:rPr>
        <w:t xml:space="preserve">a </w:t>
      </w:r>
      <w:r w:rsidRPr="004636DE">
        <w:rPr>
          <w:sz w:val="20"/>
          <w:szCs w:val="20"/>
        </w:rPr>
        <w:t>DW = dry weight; WW = wet weight.</w:t>
      </w:r>
    </w:p>
    <w:p w14:paraId="7C8A9E70" w14:textId="16EBB30B" w:rsidR="00185777" w:rsidRPr="00C746FF" w:rsidRDefault="00185777" w:rsidP="008C3E50">
      <w:pPr>
        <w:pStyle w:val="Normalsmall"/>
        <w:rPr>
          <w:sz w:val="20"/>
          <w:szCs w:val="20"/>
          <w:lang w:eastAsia="ja-JP"/>
        </w:rPr>
      </w:pPr>
      <w:r w:rsidRPr="00C746FF">
        <w:rPr>
          <w:sz w:val="20"/>
          <w:szCs w:val="20"/>
        </w:rPr>
        <w:t>These tables are not exhaustive lists of the available literature.</w:t>
      </w:r>
    </w:p>
    <w:p w14:paraId="221CCDC1" w14:textId="77777777" w:rsidR="00D001BB" w:rsidRDefault="00D001BB" w:rsidP="00D001BB">
      <w:pPr>
        <w:pStyle w:val="Heading4"/>
        <w:numPr>
          <w:ilvl w:val="0"/>
          <w:numId w:val="0"/>
        </w:numPr>
        <w:rPr>
          <w:rFonts w:ascii="Cambria" w:eastAsiaTheme="minorHAnsi" w:hAnsi="Cambria" w:cstheme="minorBidi"/>
          <w:b w:val="0"/>
          <w:bCs w:val="0"/>
          <w:color w:val="auto"/>
          <w:sz w:val="22"/>
          <w:szCs w:val="22"/>
        </w:rPr>
      </w:pPr>
    </w:p>
    <w:p w14:paraId="168C164B" w14:textId="77777777" w:rsidR="00D001BB" w:rsidRDefault="00D001BB" w:rsidP="00D001BB">
      <w:pPr>
        <w:pStyle w:val="Heading4"/>
        <w:numPr>
          <w:ilvl w:val="0"/>
          <w:numId w:val="0"/>
        </w:numPr>
        <w:rPr>
          <w:rFonts w:ascii="Cambria" w:eastAsiaTheme="minorHAnsi" w:hAnsi="Cambria" w:cstheme="minorBidi"/>
          <w:b w:val="0"/>
          <w:bCs w:val="0"/>
          <w:color w:val="auto"/>
          <w:sz w:val="22"/>
          <w:szCs w:val="22"/>
        </w:rPr>
      </w:pPr>
    </w:p>
    <w:p w14:paraId="43E120A2" w14:textId="77777777" w:rsidR="005A7193" w:rsidRDefault="005A7193" w:rsidP="005A7193">
      <w:pPr>
        <w:rPr>
          <w:lang w:eastAsia="ja-JP"/>
        </w:rPr>
      </w:pPr>
    </w:p>
    <w:p w14:paraId="2EADC82F" w14:textId="77777777" w:rsidR="00764D6A" w:rsidRDefault="00E91D72" w:rsidP="004636DE">
      <w:pPr>
        <w:pStyle w:val="Heading2"/>
        <w:numPr>
          <w:ilvl w:val="0"/>
          <w:numId w:val="0"/>
        </w:numPr>
        <w:ind w:left="720" w:hanging="720"/>
      </w:pPr>
      <w:bookmarkStart w:id="28" w:name="_Toc430782162"/>
      <w:bookmarkStart w:id="29" w:name="_Toc112151559"/>
      <w:r>
        <w:lastRenderedPageBreak/>
        <w:t>References</w:t>
      </w:r>
      <w:bookmarkEnd w:id="28"/>
      <w:bookmarkEnd w:id="29"/>
    </w:p>
    <w:p w14:paraId="1343D3C6" w14:textId="1B6DE64A" w:rsidR="0002091C" w:rsidRDefault="0002091C" w:rsidP="0002091C">
      <w:r>
        <w:t>Bao, J</w:t>
      </w:r>
      <w:r w:rsidR="009F0EFC">
        <w:t>,</w:t>
      </w:r>
      <w:r>
        <w:t xml:space="preserve"> Li, C</w:t>
      </w:r>
      <w:r w:rsidR="009F0EFC">
        <w:t>,</w:t>
      </w:r>
      <w:r>
        <w:t xml:space="preserve"> L, Liu, Y, Wang, X, Yu, W</w:t>
      </w:r>
      <w:r w:rsidR="009F0EFC">
        <w:t>,</w:t>
      </w:r>
      <w:r>
        <w:t xml:space="preserve"> J, Liu, Z</w:t>
      </w:r>
      <w:r w:rsidR="009F0EFC">
        <w:t>,</w:t>
      </w:r>
      <w:r>
        <w:t xml:space="preserve"> Q, Shao, LX,</w:t>
      </w:r>
      <w:r w:rsidR="009F0EFC">
        <w:t xml:space="preserve"> &amp;</w:t>
      </w:r>
      <w:r>
        <w:t xml:space="preserve"> </w:t>
      </w:r>
      <w:proofErr w:type="spellStart"/>
      <w:r>
        <w:t>Jin</w:t>
      </w:r>
      <w:proofErr w:type="spellEnd"/>
      <w:r>
        <w:t>, YH</w:t>
      </w:r>
      <w:r w:rsidR="009F0EFC">
        <w:t>,</w:t>
      </w:r>
      <w:r>
        <w:t xml:space="preserve"> 2020</w:t>
      </w:r>
      <w:r w:rsidR="009F0EFC">
        <w:t>,</w:t>
      </w:r>
      <w:r>
        <w:t xml:space="preserve"> </w:t>
      </w:r>
      <w:r w:rsidR="009F0EFC">
        <w:t>‘</w:t>
      </w:r>
      <w:r>
        <w:t>Bioaccumulation of perfluoroalkyl substances in greenhouse vegetables with long-term groundwater irrigation near fluorochemical plants in Fuxin, China</w:t>
      </w:r>
      <w:r w:rsidR="009F0EFC">
        <w:t>’,</w:t>
      </w:r>
      <w:r>
        <w:t xml:space="preserve"> </w:t>
      </w:r>
      <w:r w:rsidRPr="009F0EFC">
        <w:rPr>
          <w:i/>
          <w:iCs/>
        </w:rPr>
        <w:t>Environmental Research</w:t>
      </w:r>
      <w:r w:rsidR="009F0EFC">
        <w:t>, vol.</w:t>
      </w:r>
      <w:r>
        <w:t xml:space="preserve"> 188,</w:t>
      </w:r>
      <w:r w:rsidR="009F0EFC">
        <w:t xml:space="preserve"> pp.</w:t>
      </w:r>
      <w:r>
        <w:t xml:space="preserve"> 109751.</w:t>
      </w:r>
    </w:p>
    <w:p w14:paraId="2C201E89" w14:textId="3909FE23" w:rsidR="0002091C" w:rsidRDefault="0002091C" w:rsidP="0002091C">
      <w:proofErr w:type="spellStart"/>
      <w:r>
        <w:t>Bizkarguenaga</w:t>
      </w:r>
      <w:proofErr w:type="spellEnd"/>
      <w:r w:rsidR="009F0EFC">
        <w:t>,</w:t>
      </w:r>
      <w:r>
        <w:t xml:space="preserve"> E, </w:t>
      </w:r>
      <w:proofErr w:type="spellStart"/>
      <w:r>
        <w:t>Zabaleta</w:t>
      </w:r>
      <w:proofErr w:type="spellEnd"/>
      <w:r w:rsidR="009F0EFC">
        <w:t>,</w:t>
      </w:r>
      <w:r>
        <w:t xml:space="preserve"> I, </w:t>
      </w:r>
      <w:proofErr w:type="spellStart"/>
      <w:r>
        <w:t>Mijangos</w:t>
      </w:r>
      <w:proofErr w:type="spellEnd"/>
      <w:r w:rsidR="009F0EFC">
        <w:t>,</w:t>
      </w:r>
      <w:r>
        <w:t xml:space="preserve"> L, </w:t>
      </w:r>
      <w:proofErr w:type="spellStart"/>
      <w:r>
        <w:t>Iparraguirre</w:t>
      </w:r>
      <w:proofErr w:type="spellEnd"/>
      <w:r w:rsidR="009F0EFC">
        <w:t>,</w:t>
      </w:r>
      <w:r>
        <w:t xml:space="preserve"> A, Fernández</w:t>
      </w:r>
      <w:r w:rsidR="009F0EFC">
        <w:t>,</w:t>
      </w:r>
      <w:r>
        <w:t xml:space="preserve"> LA, Prieto</w:t>
      </w:r>
      <w:r w:rsidR="009F0EFC">
        <w:t>,</w:t>
      </w:r>
      <w:r>
        <w:t xml:space="preserve"> A </w:t>
      </w:r>
      <w:r w:rsidR="009F0EFC">
        <w:t>&amp;</w:t>
      </w:r>
      <w:r>
        <w:t xml:space="preserve"> </w:t>
      </w:r>
      <w:proofErr w:type="spellStart"/>
      <w:r>
        <w:t>Zuloaga</w:t>
      </w:r>
      <w:proofErr w:type="spellEnd"/>
      <w:r w:rsidR="009F0EFC">
        <w:t>,</w:t>
      </w:r>
      <w:r>
        <w:t xml:space="preserve"> O</w:t>
      </w:r>
      <w:r w:rsidR="009F0EFC">
        <w:t xml:space="preserve"> 2016,</w:t>
      </w:r>
      <w:r>
        <w:t xml:space="preserve"> </w:t>
      </w:r>
      <w:r w:rsidR="009F0EFC">
        <w:t>‘</w:t>
      </w:r>
      <w:r>
        <w:t xml:space="preserve">Uptake of perfluorooctanoic acid, </w:t>
      </w:r>
      <w:proofErr w:type="spellStart"/>
      <w:r>
        <w:t>perfluorooctane</w:t>
      </w:r>
      <w:proofErr w:type="spellEnd"/>
      <w:r>
        <w:t xml:space="preserve"> sulfonate and </w:t>
      </w:r>
      <w:proofErr w:type="spellStart"/>
      <w:r>
        <w:t>perfluorooctane</w:t>
      </w:r>
      <w:proofErr w:type="spellEnd"/>
      <w:r>
        <w:t xml:space="preserve"> </w:t>
      </w:r>
      <w:proofErr w:type="spellStart"/>
      <w:r>
        <w:t>sulfonamide</w:t>
      </w:r>
      <w:proofErr w:type="spellEnd"/>
      <w:r>
        <w:t xml:space="preserve"> by carrot and lettuce from compost amended soil</w:t>
      </w:r>
      <w:r w:rsidR="009F0EFC">
        <w:t>’</w:t>
      </w:r>
      <w:r>
        <w:t xml:space="preserve">, </w:t>
      </w:r>
      <w:r w:rsidRPr="009F0EFC">
        <w:rPr>
          <w:i/>
          <w:iCs/>
        </w:rPr>
        <w:t>Science of the Total Environment</w:t>
      </w:r>
      <w:r>
        <w:t xml:space="preserve">, </w:t>
      </w:r>
      <w:r w:rsidR="009F0EFC">
        <w:t xml:space="preserve">vol. </w:t>
      </w:r>
      <w:r>
        <w:t xml:space="preserve">571, </w:t>
      </w:r>
      <w:r w:rsidR="009F0EFC">
        <w:t xml:space="preserve">pp. </w:t>
      </w:r>
      <w:r>
        <w:t xml:space="preserve">444–451. </w:t>
      </w:r>
    </w:p>
    <w:p w14:paraId="67402BCF" w14:textId="2A8AFCA3" w:rsidR="0002091C" w:rsidRDefault="0002091C" w:rsidP="0002091C">
      <w:r>
        <w:t>Blaine</w:t>
      </w:r>
      <w:r w:rsidR="009F0EFC">
        <w:t>,</w:t>
      </w:r>
      <w:r>
        <w:t xml:space="preserve"> AC, Rich</w:t>
      </w:r>
      <w:r w:rsidR="009F0EFC">
        <w:t>,</w:t>
      </w:r>
      <w:r>
        <w:t xml:space="preserve"> CD, </w:t>
      </w:r>
      <w:proofErr w:type="spellStart"/>
      <w:r>
        <w:t>Hundal</w:t>
      </w:r>
      <w:proofErr w:type="spellEnd"/>
      <w:r w:rsidR="009F0EFC">
        <w:t>,</w:t>
      </w:r>
      <w:r>
        <w:t xml:space="preserve"> LS, Lau</w:t>
      </w:r>
      <w:r w:rsidR="009F0EFC">
        <w:t>,</w:t>
      </w:r>
      <w:r>
        <w:t xml:space="preserve"> C, Mills</w:t>
      </w:r>
      <w:r w:rsidR="009F0EFC">
        <w:t>,</w:t>
      </w:r>
      <w:r>
        <w:t xml:space="preserve"> MA, Harris</w:t>
      </w:r>
      <w:r w:rsidR="009F0EFC">
        <w:t>,</w:t>
      </w:r>
      <w:r>
        <w:t xml:space="preserve"> KM</w:t>
      </w:r>
      <w:r w:rsidR="009F0EFC">
        <w:t>,</w:t>
      </w:r>
      <w:r>
        <w:t xml:space="preserve"> </w:t>
      </w:r>
      <w:r w:rsidR="009F0EFC">
        <w:t>&amp;</w:t>
      </w:r>
      <w:r>
        <w:t xml:space="preserve"> Higgins</w:t>
      </w:r>
      <w:r w:rsidR="009F0EFC">
        <w:t>,</w:t>
      </w:r>
      <w:r>
        <w:t xml:space="preserve"> CP 2013</w:t>
      </w:r>
      <w:r w:rsidR="009F0EFC">
        <w:t>,</w:t>
      </w:r>
      <w:r>
        <w:t xml:space="preserve"> </w:t>
      </w:r>
      <w:r w:rsidR="009F0EFC">
        <w:t>‘</w:t>
      </w:r>
      <w:r>
        <w:t>Uptake of Perfluoroalkyl Acids into Edible Crops via Land Applied Biosolids: Field and Greenhouse Studies, Environmental Science &amp; Technology,</w:t>
      </w:r>
      <w:r w:rsidR="009F0EFC">
        <w:t>’</w:t>
      </w:r>
      <w:r>
        <w:t xml:space="preserve"> </w:t>
      </w:r>
      <w:r w:rsidR="009F0EFC">
        <w:t xml:space="preserve">vol. </w:t>
      </w:r>
      <w:r>
        <w:t>47</w:t>
      </w:r>
      <w:r w:rsidR="009F0EFC">
        <w:t xml:space="preserve">, no. </w:t>
      </w:r>
      <w:r>
        <w:t xml:space="preserve">24, </w:t>
      </w:r>
      <w:r w:rsidR="009F0EFC">
        <w:t xml:space="preserve">pp. </w:t>
      </w:r>
      <w:r>
        <w:t>14062–14069.</w:t>
      </w:r>
    </w:p>
    <w:p w14:paraId="23DD8D53" w14:textId="4DEA3D2E" w:rsidR="0002091C" w:rsidRDefault="0002091C" w:rsidP="0002091C">
      <w:r>
        <w:t>Blaine</w:t>
      </w:r>
      <w:r w:rsidR="009F0EFC">
        <w:t>,</w:t>
      </w:r>
      <w:r>
        <w:t xml:space="preserve"> AC, Rich</w:t>
      </w:r>
      <w:r w:rsidR="009F0EFC">
        <w:t>,</w:t>
      </w:r>
      <w:r>
        <w:t xml:space="preserve"> CD, </w:t>
      </w:r>
      <w:proofErr w:type="spellStart"/>
      <w:r>
        <w:t>Sedlacko</w:t>
      </w:r>
      <w:proofErr w:type="spellEnd"/>
      <w:r w:rsidR="009F0EFC">
        <w:t>,</w:t>
      </w:r>
      <w:r>
        <w:t xml:space="preserve"> EM, </w:t>
      </w:r>
      <w:proofErr w:type="spellStart"/>
      <w:r>
        <w:t>Hundal</w:t>
      </w:r>
      <w:proofErr w:type="spellEnd"/>
      <w:r w:rsidR="009F0EFC">
        <w:t>,</w:t>
      </w:r>
      <w:r>
        <w:t xml:space="preserve"> LS, Kumar</w:t>
      </w:r>
      <w:r w:rsidR="009F0EFC">
        <w:t>,</w:t>
      </w:r>
      <w:r>
        <w:t xml:space="preserve"> K, Lau</w:t>
      </w:r>
      <w:r w:rsidR="009F0EFC">
        <w:t>,</w:t>
      </w:r>
      <w:r>
        <w:t xml:space="preserve"> C, Mills</w:t>
      </w:r>
      <w:r w:rsidR="009F0EFC">
        <w:t>,</w:t>
      </w:r>
      <w:r>
        <w:t xml:space="preserve"> MA, Harris</w:t>
      </w:r>
      <w:r w:rsidR="009F0EFC">
        <w:t>,</w:t>
      </w:r>
      <w:r>
        <w:t xml:space="preserve"> KM </w:t>
      </w:r>
      <w:r w:rsidR="009F0EFC">
        <w:t>&amp;</w:t>
      </w:r>
      <w:r>
        <w:t xml:space="preserve"> Higgins</w:t>
      </w:r>
      <w:r w:rsidR="009F0EFC">
        <w:t>,</w:t>
      </w:r>
      <w:r>
        <w:t xml:space="preserve"> CP 2014</w:t>
      </w:r>
      <w:r w:rsidR="009F0EFC">
        <w:t>,</w:t>
      </w:r>
      <w:r>
        <w:t xml:space="preserve"> </w:t>
      </w:r>
      <w:r w:rsidR="009F0EFC">
        <w:t>‘</w:t>
      </w:r>
      <w:r>
        <w:t>Perfluoroalkyl Acid Distribution in Various Plant Compartments of Edible Crops Grown in Biosolids-Amended soils,</w:t>
      </w:r>
      <w:r w:rsidR="009F0EFC">
        <w:t>’</w:t>
      </w:r>
      <w:r>
        <w:t xml:space="preserve"> </w:t>
      </w:r>
      <w:r w:rsidRPr="009F0EFC">
        <w:rPr>
          <w:i/>
          <w:iCs/>
        </w:rPr>
        <w:t>Environmental Science &amp; Technology</w:t>
      </w:r>
      <w:r>
        <w:t xml:space="preserve">, </w:t>
      </w:r>
      <w:r w:rsidR="009F0EFC">
        <w:t xml:space="preserve">vol. </w:t>
      </w:r>
      <w:r>
        <w:t>48,</w:t>
      </w:r>
      <w:r w:rsidR="009F0EFC">
        <w:t xml:space="preserve"> pp.</w:t>
      </w:r>
      <w:r>
        <w:t xml:space="preserve"> 7858−7865.</w:t>
      </w:r>
    </w:p>
    <w:p w14:paraId="05837CED" w14:textId="28D3E78A" w:rsidR="0002091C" w:rsidRDefault="0002091C" w:rsidP="0002091C">
      <w:proofErr w:type="spellStart"/>
      <w:r>
        <w:t>Bräunig</w:t>
      </w:r>
      <w:proofErr w:type="spellEnd"/>
      <w:r w:rsidR="009F0EFC">
        <w:t>,</w:t>
      </w:r>
      <w:r>
        <w:t xml:space="preserve"> J, </w:t>
      </w:r>
      <w:proofErr w:type="spellStart"/>
      <w:r>
        <w:t>Baduel</w:t>
      </w:r>
      <w:proofErr w:type="spellEnd"/>
      <w:r w:rsidR="009F0EFC">
        <w:t>,</w:t>
      </w:r>
      <w:r>
        <w:t xml:space="preserve"> C, Barnes</w:t>
      </w:r>
      <w:r w:rsidR="009F0EFC">
        <w:t>,</w:t>
      </w:r>
      <w:r>
        <w:t xml:space="preserve"> CM </w:t>
      </w:r>
      <w:r w:rsidR="009F0EFC">
        <w:t>&amp;</w:t>
      </w:r>
      <w:r>
        <w:t xml:space="preserve"> Mueller</w:t>
      </w:r>
      <w:r w:rsidR="009F0EFC">
        <w:t>,</w:t>
      </w:r>
      <w:r>
        <w:t xml:space="preserve"> J 2018</w:t>
      </w:r>
      <w:r w:rsidR="00A5684F">
        <w:t>,</w:t>
      </w:r>
      <w:r>
        <w:t xml:space="preserve"> </w:t>
      </w:r>
      <w:r w:rsidR="00A5684F">
        <w:t>‘</w:t>
      </w:r>
      <w:r>
        <w:t>Leaching and bioavailability of selected perfluoroalkyl acids (PFAAs) from soil contaminated by firefighting activities,</w:t>
      </w:r>
      <w:r w:rsidR="00A5684F">
        <w:t>’</w:t>
      </w:r>
      <w:r>
        <w:t xml:space="preserve"> </w:t>
      </w:r>
      <w:r w:rsidRPr="00A5684F">
        <w:rPr>
          <w:i/>
          <w:iCs/>
        </w:rPr>
        <w:t>Science of the Total Environment</w:t>
      </w:r>
      <w:r>
        <w:t xml:space="preserve">, </w:t>
      </w:r>
      <w:r w:rsidR="00A5684F">
        <w:t xml:space="preserve">vol. </w:t>
      </w:r>
      <w:r>
        <w:t>646,</w:t>
      </w:r>
      <w:r w:rsidR="00A5684F">
        <w:t xml:space="preserve"> pp.</w:t>
      </w:r>
      <w:r>
        <w:t xml:space="preserve"> 471–479.</w:t>
      </w:r>
    </w:p>
    <w:p w14:paraId="205C466C" w14:textId="0D492FFD" w:rsidR="0002091C" w:rsidRDefault="0002091C" w:rsidP="0002091C">
      <w:proofErr w:type="spellStart"/>
      <w:r>
        <w:t>Brignole</w:t>
      </w:r>
      <w:proofErr w:type="spellEnd"/>
      <w:r w:rsidR="00A5684F">
        <w:t>,</w:t>
      </w:r>
      <w:r>
        <w:t xml:space="preserve"> AJ, Porch</w:t>
      </w:r>
      <w:r w:rsidR="00A5684F">
        <w:t>,</w:t>
      </w:r>
      <w:r>
        <w:t xml:space="preserve"> JR, Krueger</w:t>
      </w:r>
      <w:r w:rsidR="00A5684F">
        <w:t>,</w:t>
      </w:r>
      <w:r>
        <w:t xml:space="preserve"> HO and Van Hoven</w:t>
      </w:r>
      <w:r w:rsidR="00A5684F">
        <w:t>,</w:t>
      </w:r>
      <w:r>
        <w:t xml:space="preserve"> RL 2003</w:t>
      </w:r>
      <w:r w:rsidR="00A5684F">
        <w:t>,</w:t>
      </w:r>
      <w:r>
        <w:t xml:space="preserve"> </w:t>
      </w:r>
      <w:r w:rsidR="00A5684F">
        <w:t>‘</w:t>
      </w:r>
      <w:r>
        <w:t>PFOS: A Toxicity Test to Determine the Effects of the Test Substance on Seedling Emergence of Seven Species of Plants,</w:t>
      </w:r>
      <w:r w:rsidR="00A5684F">
        <w:t>’</w:t>
      </w:r>
      <w:r>
        <w:t xml:space="preserve"> Final Report, Wildlife International, Ltd, Project Number 454-110, May 2003. </w:t>
      </w:r>
    </w:p>
    <w:p w14:paraId="0F066B2A" w14:textId="3A1E426A" w:rsidR="0002091C" w:rsidRPr="00A5684F" w:rsidRDefault="0002091C" w:rsidP="0002091C">
      <w:pPr>
        <w:rPr>
          <w:lang w:val="de-DE"/>
        </w:rPr>
      </w:pPr>
      <w:r w:rsidRPr="00D2484E">
        <w:rPr>
          <w:lang w:val="de-DE"/>
        </w:rPr>
        <w:t>Chen, H, Yao, Y, Zhao, Z, Wang, Y, Wang, Q, Ren, C, Wang, B, Sun, H, Alder, AC and Kannan, K, 2018</w:t>
      </w:r>
      <w:r w:rsidR="00A5684F">
        <w:rPr>
          <w:lang w:val="de-DE"/>
        </w:rPr>
        <w:t>,‘</w:t>
      </w:r>
      <w:r>
        <w:t>Multimedia distribution and transfer of per-and polyfluoroalkyl substances (PFASs) surrounding two fluorochemical manufacturing facilities in Fuxin, China</w:t>
      </w:r>
      <w:r w:rsidR="00A5684F">
        <w:t>’,</w:t>
      </w:r>
      <w:r>
        <w:t xml:space="preserve"> </w:t>
      </w:r>
      <w:r w:rsidRPr="00A5684F">
        <w:rPr>
          <w:i/>
          <w:iCs/>
        </w:rPr>
        <w:t>Environmental Science &amp; Technology</w:t>
      </w:r>
      <w:r>
        <w:t xml:space="preserve">, </w:t>
      </w:r>
      <w:r w:rsidR="00A5684F">
        <w:t xml:space="preserve">vol. </w:t>
      </w:r>
      <w:r>
        <w:t>52</w:t>
      </w:r>
      <w:r w:rsidR="00A5684F">
        <w:t xml:space="preserve">, no. </w:t>
      </w:r>
      <w:r>
        <w:t>15,</w:t>
      </w:r>
      <w:r w:rsidR="00A5684F">
        <w:t xml:space="preserve"> pp.</w:t>
      </w:r>
      <w:r>
        <w:t xml:space="preserve"> 8263-8271. </w:t>
      </w:r>
    </w:p>
    <w:p w14:paraId="0449DA24" w14:textId="0CE73BE7" w:rsidR="0002091C" w:rsidRDefault="0002091C" w:rsidP="0002091C">
      <w:proofErr w:type="spellStart"/>
      <w:r>
        <w:t>Eun</w:t>
      </w:r>
      <w:proofErr w:type="spellEnd"/>
      <w:r>
        <w:t xml:space="preserve">, H, Yamazaki, E, </w:t>
      </w:r>
      <w:proofErr w:type="spellStart"/>
      <w:r>
        <w:t>Taniyasu</w:t>
      </w:r>
      <w:proofErr w:type="spellEnd"/>
      <w:r>
        <w:t xml:space="preserve">, S, </w:t>
      </w:r>
      <w:proofErr w:type="spellStart"/>
      <w:r>
        <w:t>Miecznikowska</w:t>
      </w:r>
      <w:proofErr w:type="spellEnd"/>
      <w:r>
        <w:t xml:space="preserve">, A, </w:t>
      </w:r>
      <w:proofErr w:type="spellStart"/>
      <w:r>
        <w:t>Falandysz</w:t>
      </w:r>
      <w:proofErr w:type="spellEnd"/>
      <w:r>
        <w:t xml:space="preserve">, J </w:t>
      </w:r>
      <w:r w:rsidR="00A5684F">
        <w:t>&amp;</w:t>
      </w:r>
      <w:r>
        <w:t xml:space="preserve"> Yamashita, N 2020</w:t>
      </w:r>
      <w:r w:rsidR="00A5684F">
        <w:t>,</w:t>
      </w:r>
      <w:r>
        <w:t xml:space="preserve"> </w:t>
      </w:r>
      <w:r w:rsidR="00A5684F">
        <w:t>‘</w:t>
      </w:r>
      <w:r>
        <w:t>Evaluation of perfluoroalkyl substances in field-cultivated vegetables</w:t>
      </w:r>
      <w:r w:rsidR="00A5684F">
        <w:t>,’</w:t>
      </w:r>
      <w:r>
        <w:t xml:space="preserve"> </w:t>
      </w:r>
      <w:r w:rsidRPr="00A5684F">
        <w:rPr>
          <w:i/>
          <w:iCs/>
        </w:rPr>
        <w:t>Chemosphere</w:t>
      </w:r>
      <w:r>
        <w:t xml:space="preserve">, </w:t>
      </w:r>
      <w:r w:rsidR="00A5684F">
        <w:t xml:space="preserve">vol. </w:t>
      </w:r>
      <w:r>
        <w:t>239,</w:t>
      </w:r>
      <w:r w:rsidR="00A5684F">
        <w:t xml:space="preserve"> pp.</w:t>
      </w:r>
      <w:r>
        <w:t xml:space="preserve"> 124750. </w:t>
      </w:r>
    </w:p>
    <w:p w14:paraId="20424D2E" w14:textId="05F95ACB" w:rsidR="0002091C" w:rsidRDefault="0002091C" w:rsidP="0002091C">
      <w:proofErr w:type="spellStart"/>
      <w:r w:rsidRPr="007C39F5">
        <w:t>Felizeter</w:t>
      </w:r>
      <w:proofErr w:type="spellEnd"/>
      <w:r w:rsidRPr="007C39F5">
        <w:t xml:space="preserve">, S, </w:t>
      </w:r>
      <w:proofErr w:type="spellStart"/>
      <w:r w:rsidRPr="007C39F5">
        <w:t>Jürling</w:t>
      </w:r>
      <w:proofErr w:type="spellEnd"/>
      <w:r w:rsidRPr="007C39F5">
        <w:t xml:space="preserve">, H, </w:t>
      </w:r>
      <w:proofErr w:type="spellStart"/>
      <w:r w:rsidRPr="007C39F5">
        <w:t>Kotthoff</w:t>
      </w:r>
      <w:proofErr w:type="spellEnd"/>
      <w:r w:rsidRPr="007C39F5">
        <w:t xml:space="preserve">, M, De </w:t>
      </w:r>
      <w:proofErr w:type="spellStart"/>
      <w:r w:rsidRPr="007C39F5">
        <w:t>Voogt</w:t>
      </w:r>
      <w:proofErr w:type="spellEnd"/>
      <w:r w:rsidRPr="007C39F5">
        <w:t>, P, &amp; McLachlan, M</w:t>
      </w:r>
      <w:r w:rsidR="00A5684F">
        <w:t xml:space="preserve">S </w:t>
      </w:r>
      <w:r w:rsidRPr="007C39F5">
        <w:t>2020</w:t>
      </w:r>
      <w:r w:rsidR="00A5684F">
        <w:t>,</w:t>
      </w:r>
      <w:r w:rsidRPr="007C39F5">
        <w:t xml:space="preserve"> </w:t>
      </w:r>
      <w:r w:rsidR="00A5684F">
        <w:t>‘</w:t>
      </w:r>
      <w:r>
        <w:t>Influence of soil on the uptake of perfluoroalkyl acids by lettuce: A comparison between a hydroponic study and a field study</w:t>
      </w:r>
      <w:r w:rsidR="00A5684F">
        <w:t>,’</w:t>
      </w:r>
      <w:r>
        <w:t xml:space="preserve"> </w:t>
      </w:r>
      <w:r w:rsidRPr="00A5684F">
        <w:rPr>
          <w:i/>
          <w:iCs/>
        </w:rPr>
        <w:t>Chemosphere</w:t>
      </w:r>
      <w:r w:rsidR="00A5684F">
        <w:t>,</w:t>
      </w:r>
      <w:r>
        <w:t xml:space="preserve"> </w:t>
      </w:r>
      <w:r w:rsidR="00A5684F">
        <w:t xml:space="preserve">vol. </w:t>
      </w:r>
      <w:r>
        <w:t xml:space="preserve">260, </w:t>
      </w:r>
      <w:r w:rsidR="00A5684F">
        <w:t xml:space="preserve">pp. </w:t>
      </w:r>
      <w:r>
        <w:t>127608.</w:t>
      </w:r>
    </w:p>
    <w:p w14:paraId="2A9796BC" w14:textId="47898141" w:rsidR="0002091C" w:rsidRDefault="0002091C" w:rsidP="0002091C">
      <w:r w:rsidRPr="00A57B22">
        <w:t xml:space="preserve">FSANZ 2017, </w:t>
      </w:r>
      <w:r w:rsidRPr="00A5684F">
        <w:rPr>
          <w:i/>
          <w:iCs/>
        </w:rPr>
        <w:t>Perfluorinated chemicals in food</w:t>
      </w:r>
      <w:r w:rsidRPr="00A57B22">
        <w:t>, Food Standards Australia New Zealand (FSANZ)</w:t>
      </w:r>
      <w:r w:rsidR="00A5684F">
        <w:t xml:space="preserve"> Canberra</w:t>
      </w:r>
      <w:r w:rsidR="00C34F31">
        <w:t>.</w:t>
      </w:r>
    </w:p>
    <w:p w14:paraId="147E668B" w14:textId="2D5CB543" w:rsidR="0002091C" w:rsidRDefault="0002091C" w:rsidP="0002091C">
      <w:r>
        <w:t>Gebhardt</w:t>
      </w:r>
      <w:r w:rsidR="00C34F31">
        <w:t>,</w:t>
      </w:r>
      <w:r>
        <w:t xml:space="preserve"> SE </w:t>
      </w:r>
      <w:r w:rsidR="00C34F31">
        <w:t>&amp;</w:t>
      </w:r>
      <w:r>
        <w:t xml:space="preserve"> Thomas</w:t>
      </w:r>
      <w:r w:rsidR="00C34F31">
        <w:t>,</w:t>
      </w:r>
      <w:r>
        <w:t xml:space="preserve"> RG 2002, </w:t>
      </w:r>
      <w:r w:rsidRPr="00C34F31">
        <w:rPr>
          <w:i/>
          <w:iCs/>
        </w:rPr>
        <w:t>Nutritive values of foods</w:t>
      </w:r>
      <w:r w:rsidR="00C34F31">
        <w:t>,</w:t>
      </w:r>
      <w:r>
        <w:t xml:space="preserve"> United States Department of Agriculture, Agricultural Research Service, Home and Garden Bulletin, no.72.</w:t>
      </w:r>
    </w:p>
    <w:p w14:paraId="50309778" w14:textId="50BE7B40" w:rsidR="0002091C" w:rsidRDefault="0002091C" w:rsidP="0002091C">
      <w:proofErr w:type="spellStart"/>
      <w:r>
        <w:t>Gobelius</w:t>
      </w:r>
      <w:proofErr w:type="spellEnd"/>
      <w:r w:rsidR="00C34F31">
        <w:t>,</w:t>
      </w:r>
      <w:r>
        <w:t xml:space="preserve"> L, Lewis</w:t>
      </w:r>
      <w:r w:rsidR="00C34F31">
        <w:t>,</w:t>
      </w:r>
      <w:r>
        <w:t xml:space="preserve"> J </w:t>
      </w:r>
      <w:r w:rsidR="00C34F31">
        <w:t>&amp;</w:t>
      </w:r>
      <w:r>
        <w:t xml:space="preserve"> Ahrens</w:t>
      </w:r>
      <w:r w:rsidR="00C34F31">
        <w:t>,</w:t>
      </w:r>
      <w:r>
        <w:t xml:space="preserve"> L 2017, </w:t>
      </w:r>
      <w:r w:rsidR="00C34F31">
        <w:t>‘</w:t>
      </w:r>
      <w:r>
        <w:t>Plant uptake of per</w:t>
      </w:r>
      <w:r>
        <w:rPr>
          <w:rFonts w:ascii="Cambria Math" w:hAnsi="Cambria Math" w:cs="Cambria Math"/>
        </w:rPr>
        <w:t>‐</w:t>
      </w:r>
      <w:r>
        <w:t xml:space="preserve"> and polyfluoroalkyl substances at a contaminated fire training facility to evaluate the phytoremediation potential of various plant species</w:t>
      </w:r>
      <w:r w:rsidR="00C34F31">
        <w:t>’,</w:t>
      </w:r>
      <w:r>
        <w:t xml:space="preserve"> </w:t>
      </w:r>
      <w:r w:rsidRPr="00C34F31">
        <w:rPr>
          <w:i/>
          <w:iCs/>
        </w:rPr>
        <w:t>Environmental Science &amp; Technology</w:t>
      </w:r>
      <w:r>
        <w:t xml:space="preserve">, </w:t>
      </w:r>
      <w:r w:rsidR="00C34F31">
        <w:t xml:space="preserve">vol. </w:t>
      </w:r>
      <w:r>
        <w:t>51</w:t>
      </w:r>
      <w:r w:rsidR="00C34F31">
        <w:t xml:space="preserve">, no. </w:t>
      </w:r>
      <w:r>
        <w:t>21,</w:t>
      </w:r>
      <w:r w:rsidR="00C34F31">
        <w:t xml:space="preserve"> pp.</w:t>
      </w:r>
      <w:r>
        <w:t xml:space="preserve"> 12602–12610.</w:t>
      </w:r>
    </w:p>
    <w:p w14:paraId="732FC08A" w14:textId="325868B1" w:rsidR="0002091C" w:rsidRDefault="0002091C" w:rsidP="0002091C">
      <w:proofErr w:type="spellStart"/>
      <w:r>
        <w:lastRenderedPageBreak/>
        <w:t>Gredelj</w:t>
      </w:r>
      <w:proofErr w:type="spellEnd"/>
      <w:r>
        <w:t xml:space="preserve">, A, </w:t>
      </w:r>
      <w:proofErr w:type="spellStart"/>
      <w:r>
        <w:t>Nicoletto</w:t>
      </w:r>
      <w:proofErr w:type="spellEnd"/>
      <w:r>
        <w:t xml:space="preserve">, C, Valsecchi, S, </w:t>
      </w:r>
      <w:proofErr w:type="spellStart"/>
      <w:r>
        <w:t>Ferrario</w:t>
      </w:r>
      <w:proofErr w:type="spellEnd"/>
      <w:r>
        <w:t xml:space="preserve">, C, </w:t>
      </w:r>
      <w:proofErr w:type="spellStart"/>
      <w:r>
        <w:t>Polesello</w:t>
      </w:r>
      <w:proofErr w:type="spellEnd"/>
      <w:r>
        <w:t xml:space="preserve">, S, Lava, R, </w:t>
      </w:r>
      <w:proofErr w:type="spellStart"/>
      <w:r>
        <w:t>Zanon</w:t>
      </w:r>
      <w:proofErr w:type="spellEnd"/>
      <w:r>
        <w:t xml:space="preserve">, F, </w:t>
      </w:r>
      <w:proofErr w:type="spellStart"/>
      <w:r>
        <w:t>Barausse</w:t>
      </w:r>
      <w:proofErr w:type="spellEnd"/>
      <w:r>
        <w:t xml:space="preserve">, A, </w:t>
      </w:r>
      <w:proofErr w:type="spellStart"/>
      <w:r>
        <w:t>Palmeri</w:t>
      </w:r>
      <w:proofErr w:type="spellEnd"/>
      <w:r>
        <w:t xml:space="preserve">, L, </w:t>
      </w:r>
      <w:proofErr w:type="spellStart"/>
      <w:r>
        <w:t>Guidolin</w:t>
      </w:r>
      <w:proofErr w:type="spellEnd"/>
      <w:r>
        <w:t xml:space="preserve">, L and </w:t>
      </w:r>
      <w:proofErr w:type="spellStart"/>
      <w:r>
        <w:t>Bonato</w:t>
      </w:r>
      <w:proofErr w:type="spellEnd"/>
      <w:r>
        <w:t>, M</w:t>
      </w:r>
      <w:r w:rsidR="00C34F31">
        <w:t xml:space="preserve"> </w:t>
      </w:r>
      <w:r>
        <w:t>2020</w:t>
      </w:r>
      <w:r w:rsidR="00C34F31">
        <w:t>,</w:t>
      </w:r>
      <w:r>
        <w:t xml:space="preserve"> </w:t>
      </w:r>
      <w:r w:rsidR="00C34F31">
        <w:t>‘</w:t>
      </w:r>
      <w:r>
        <w:t>Uptake and translocation of perfluoroalkyl acids (PFAA) in red chicory (</w:t>
      </w:r>
      <w:r w:rsidRPr="002376F4">
        <w:rPr>
          <w:i/>
          <w:iCs/>
        </w:rPr>
        <w:t>Cichorium intybus L</w:t>
      </w:r>
      <w:r>
        <w:t>.) under various treatments with pre-contaminated soil and irrigation water</w:t>
      </w:r>
      <w:r w:rsidR="00C34F31">
        <w:t>’,</w:t>
      </w:r>
      <w:r>
        <w:t xml:space="preserve"> </w:t>
      </w:r>
      <w:r w:rsidRPr="00C34F31">
        <w:rPr>
          <w:i/>
          <w:iCs/>
        </w:rPr>
        <w:t>Science of the Total Environment</w:t>
      </w:r>
      <w:r>
        <w:t>,</w:t>
      </w:r>
      <w:r w:rsidR="00C34F31">
        <w:t xml:space="preserve"> vol.</w:t>
      </w:r>
      <w:r>
        <w:t xml:space="preserve"> 708,</w:t>
      </w:r>
      <w:r w:rsidR="00C34F31">
        <w:t xml:space="preserve"> pp.</w:t>
      </w:r>
      <w:r>
        <w:t xml:space="preserve"> 134766.</w:t>
      </w:r>
    </w:p>
    <w:p w14:paraId="09FA6832" w14:textId="5AEEC44F" w:rsidR="0002091C" w:rsidRDefault="0002091C" w:rsidP="0002091C">
      <w:proofErr w:type="spellStart"/>
      <w:r>
        <w:t>Lasee</w:t>
      </w:r>
      <w:proofErr w:type="spellEnd"/>
      <w:r>
        <w:t xml:space="preserve">, S, Subbiah, S, Thompson, WA, </w:t>
      </w:r>
      <w:proofErr w:type="spellStart"/>
      <w:r>
        <w:t>Karnjanapiboonwong</w:t>
      </w:r>
      <w:proofErr w:type="spellEnd"/>
      <w:r>
        <w:t>, A. Jordan, J, Payton, P, &amp; Anderson, T A</w:t>
      </w:r>
      <w:r w:rsidR="00C34F31">
        <w:t xml:space="preserve"> </w:t>
      </w:r>
      <w:r>
        <w:t>2019</w:t>
      </w:r>
      <w:r w:rsidR="00C34F31">
        <w:t>,</w:t>
      </w:r>
      <w:r>
        <w:t xml:space="preserve"> </w:t>
      </w:r>
      <w:r w:rsidR="00C34F31">
        <w:t>‘</w:t>
      </w:r>
      <w:r>
        <w:t>Plant Uptake of Per</w:t>
      </w:r>
      <w:r>
        <w:rPr>
          <w:rFonts w:ascii="Cambria Math" w:hAnsi="Cambria Math" w:cs="Cambria Math"/>
        </w:rPr>
        <w:t>‐</w:t>
      </w:r>
      <w:r>
        <w:t>and Polyfluoroalkyl Acids under a Maximum Bioavailability Scenario</w:t>
      </w:r>
      <w:r w:rsidR="00C34F31">
        <w:t>’,</w:t>
      </w:r>
      <w:r>
        <w:t xml:space="preserve"> </w:t>
      </w:r>
      <w:r w:rsidRPr="00C34F31">
        <w:rPr>
          <w:i/>
          <w:iCs/>
        </w:rPr>
        <w:t>Environmental Toxicology and Chemistry</w:t>
      </w:r>
      <w:r>
        <w:t xml:space="preserve">, </w:t>
      </w:r>
      <w:r w:rsidR="00C34F31">
        <w:t xml:space="preserve">vol. </w:t>
      </w:r>
      <w:r>
        <w:t>38</w:t>
      </w:r>
      <w:r w:rsidR="00C34F31">
        <w:t xml:space="preserve">, no. </w:t>
      </w:r>
      <w:r>
        <w:t>11,</w:t>
      </w:r>
      <w:r w:rsidR="00C34F31">
        <w:t xml:space="preserve"> pp.</w:t>
      </w:r>
      <w:r>
        <w:t xml:space="preserve"> 2497-2502.</w:t>
      </w:r>
    </w:p>
    <w:p w14:paraId="667BF597" w14:textId="22FC1D32" w:rsidR="0002091C" w:rsidRDefault="0002091C" w:rsidP="0002091C">
      <w:r>
        <w:t>Lechner</w:t>
      </w:r>
      <w:r w:rsidR="00C34F31">
        <w:t>,</w:t>
      </w:r>
      <w:r>
        <w:t xml:space="preserve"> M </w:t>
      </w:r>
      <w:r w:rsidR="00C34F31">
        <w:t>&amp;</w:t>
      </w:r>
      <w:r>
        <w:t xml:space="preserve"> Knapp</w:t>
      </w:r>
      <w:r w:rsidR="00C34F31">
        <w:t>,</w:t>
      </w:r>
      <w:r>
        <w:t xml:space="preserve"> H 20</w:t>
      </w:r>
      <w:r w:rsidR="00C34F31">
        <w:t>11,</w:t>
      </w:r>
      <w:r>
        <w:t xml:space="preserve"> </w:t>
      </w:r>
      <w:r w:rsidR="00C34F31">
        <w:t>‘</w:t>
      </w:r>
      <w:r>
        <w:t xml:space="preserve">Carryover of Perfluorooctanoic Acid (PFOA) and </w:t>
      </w:r>
      <w:proofErr w:type="spellStart"/>
      <w:r>
        <w:t>Perfluorooctane</w:t>
      </w:r>
      <w:proofErr w:type="spellEnd"/>
      <w:r>
        <w:t xml:space="preserve"> Sulfonate (PFOS) from Soil to Plant and Distribution to the Different Plant Compartments Studied in Cultures of Carrots (</w:t>
      </w:r>
      <w:r w:rsidRPr="002376F4">
        <w:rPr>
          <w:i/>
          <w:iCs/>
        </w:rPr>
        <w:t>Daucus carota ssp. Sativus</w:t>
      </w:r>
      <w:r>
        <w:t>), Potatoes (</w:t>
      </w:r>
      <w:r w:rsidRPr="002376F4">
        <w:rPr>
          <w:i/>
          <w:iCs/>
        </w:rPr>
        <w:t>Solanum tuberosum</w:t>
      </w:r>
      <w:r>
        <w:t>), and Cucumbers (</w:t>
      </w:r>
      <w:r w:rsidRPr="002376F4">
        <w:rPr>
          <w:i/>
          <w:iCs/>
        </w:rPr>
        <w:t>Cucumis Sativus</w:t>
      </w:r>
      <w:r>
        <w:t>)</w:t>
      </w:r>
      <w:r w:rsidR="00C34F31">
        <w:t>’,</w:t>
      </w:r>
      <w:r>
        <w:t xml:space="preserve"> </w:t>
      </w:r>
      <w:r w:rsidRPr="00C34F31">
        <w:rPr>
          <w:i/>
          <w:iCs/>
        </w:rPr>
        <w:t>Journal of Agricultural Food Chemistry</w:t>
      </w:r>
      <w:r>
        <w:t xml:space="preserve">, </w:t>
      </w:r>
      <w:r w:rsidR="00C34F31">
        <w:t xml:space="preserve">vol. </w:t>
      </w:r>
      <w:r>
        <w:t xml:space="preserve">59, </w:t>
      </w:r>
      <w:r w:rsidR="00C34F31">
        <w:t xml:space="preserve">pp. </w:t>
      </w:r>
      <w:r>
        <w:t xml:space="preserve">11011–11018. </w:t>
      </w:r>
    </w:p>
    <w:p w14:paraId="3C89A13C" w14:textId="43BEC2A8" w:rsidR="0002091C" w:rsidRPr="000D06D0" w:rsidRDefault="0002091C" w:rsidP="0002091C">
      <w:pPr>
        <w:autoSpaceDE w:val="0"/>
        <w:autoSpaceDN w:val="0"/>
        <w:adjustRightInd w:val="0"/>
        <w:spacing w:after="0"/>
        <w:rPr>
          <w:rFonts w:cstheme="minorHAnsi"/>
        </w:rPr>
      </w:pPr>
      <w:r w:rsidRPr="000D06D0">
        <w:rPr>
          <w:rFonts w:cstheme="minorHAnsi"/>
        </w:rPr>
        <w:t>Liu, Z, Lu, Y, Shi, Y, Wang, P, Jones, K, Sweetman, AJ, Johnson, AC, Zhang, M, Zhou, Y, Lu, X</w:t>
      </w:r>
      <w:r>
        <w:rPr>
          <w:rFonts w:cstheme="minorHAnsi"/>
        </w:rPr>
        <w:t xml:space="preserve"> </w:t>
      </w:r>
      <w:r w:rsidRPr="000D06D0">
        <w:rPr>
          <w:rFonts w:cstheme="minorHAnsi"/>
        </w:rPr>
        <w:t xml:space="preserve">2017 </w:t>
      </w:r>
      <w:r w:rsidR="00C34F31">
        <w:rPr>
          <w:rFonts w:cstheme="minorHAnsi"/>
        </w:rPr>
        <w:t>‘</w:t>
      </w:r>
      <w:r w:rsidRPr="000D06D0">
        <w:rPr>
          <w:rFonts w:cstheme="minorHAnsi"/>
        </w:rPr>
        <w:t>Crop bioaccumulation and human exposure of perfluoroalkyl</w:t>
      </w:r>
    </w:p>
    <w:p w14:paraId="06FB4C8C" w14:textId="1E146D70" w:rsidR="0002091C" w:rsidRPr="000D06D0" w:rsidRDefault="0002091C" w:rsidP="0002091C">
      <w:pPr>
        <w:autoSpaceDE w:val="0"/>
        <w:autoSpaceDN w:val="0"/>
        <w:adjustRightInd w:val="0"/>
        <w:rPr>
          <w:rFonts w:cstheme="minorHAnsi"/>
        </w:rPr>
      </w:pPr>
      <w:r w:rsidRPr="000D06D0">
        <w:rPr>
          <w:rFonts w:cstheme="minorHAnsi"/>
        </w:rPr>
        <w:t>acids through multi-media transport from a mega fluorochemical industrial park, China</w:t>
      </w:r>
      <w:r w:rsidR="00C34F31">
        <w:rPr>
          <w:rFonts w:cstheme="minorHAnsi"/>
        </w:rPr>
        <w:t>’,</w:t>
      </w:r>
      <w:r w:rsidRPr="000D06D0">
        <w:rPr>
          <w:rFonts w:cstheme="minorHAnsi"/>
        </w:rPr>
        <w:t xml:space="preserve"> </w:t>
      </w:r>
      <w:r w:rsidRPr="00C34F31">
        <w:rPr>
          <w:rFonts w:cstheme="minorHAnsi"/>
          <w:i/>
          <w:iCs/>
        </w:rPr>
        <w:t>Environment International</w:t>
      </w:r>
      <w:r>
        <w:rPr>
          <w:rFonts w:cstheme="minorHAnsi"/>
        </w:rPr>
        <w:t>,</w:t>
      </w:r>
      <w:r w:rsidRPr="000D06D0">
        <w:rPr>
          <w:rFonts w:cstheme="minorHAnsi"/>
        </w:rPr>
        <w:t xml:space="preserve"> </w:t>
      </w:r>
      <w:r w:rsidR="00C34F31">
        <w:rPr>
          <w:rFonts w:cstheme="minorHAnsi"/>
        </w:rPr>
        <w:t xml:space="preserve">vo. </w:t>
      </w:r>
      <w:r w:rsidRPr="000D06D0">
        <w:rPr>
          <w:rFonts w:cstheme="minorHAnsi"/>
        </w:rPr>
        <w:t>106,</w:t>
      </w:r>
      <w:r w:rsidR="00C34F31">
        <w:rPr>
          <w:rFonts w:cstheme="minorHAnsi"/>
        </w:rPr>
        <w:t xml:space="preserve"> pp.</w:t>
      </w:r>
      <w:r w:rsidRPr="000D06D0">
        <w:rPr>
          <w:rFonts w:cstheme="minorHAnsi"/>
        </w:rPr>
        <w:t xml:space="preserve"> 37</w:t>
      </w:r>
      <w:r>
        <w:rPr>
          <w:rFonts w:cstheme="minorHAnsi"/>
        </w:rPr>
        <w:t>-47</w:t>
      </w:r>
      <w:r w:rsidRPr="000D06D0">
        <w:rPr>
          <w:rFonts w:cstheme="minorHAnsi"/>
        </w:rPr>
        <w:t>.</w:t>
      </w:r>
    </w:p>
    <w:p w14:paraId="71B450DA" w14:textId="300C91CF" w:rsidR="0002091C" w:rsidRDefault="0002091C" w:rsidP="0002091C">
      <w:r>
        <w:t>Liu, Z, Lu, Y, Song, X, Jones, K, Sweetman, A</w:t>
      </w:r>
      <w:r w:rsidR="00535121">
        <w:t>J</w:t>
      </w:r>
      <w:r>
        <w:t xml:space="preserve">, Johnson, AC, Zhang, M, Lu, X and Su, C, </w:t>
      </w:r>
      <w:proofErr w:type="gramStart"/>
      <w:r>
        <w:t>2019</w:t>
      </w:r>
      <w:r w:rsidR="00535121">
        <w:t xml:space="preserve">, </w:t>
      </w:r>
      <w:r>
        <w:t xml:space="preserve"> </w:t>
      </w:r>
      <w:r w:rsidR="00535121">
        <w:t>‘</w:t>
      </w:r>
      <w:proofErr w:type="gramEnd"/>
      <w:r>
        <w:t>Multiple crop bioaccumulation and human exposure of perfluoroalkyl substances around a mega fluorochemical industrial park, China: Implication for planting optimization and food safety</w:t>
      </w:r>
      <w:r w:rsidR="00535121">
        <w:t>’,</w:t>
      </w:r>
      <w:r>
        <w:t xml:space="preserve"> </w:t>
      </w:r>
      <w:r w:rsidRPr="00535121">
        <w:rPr>
          <w:i/>
          <w:iCs/>
        </w:rPr>
        <w:t>Environment International</w:t>
      </w:r>
      <w:r>
        <w:t xml:space="preserve">, </w:t>
      </w:r>
      <w:r w:rsidR="00535121">
        <w:t xml:space="preserve">vol. </w:t>
      </w:r>
      <w:r>
        <w:t>127,</w:t>
      </w:r>
      <w:r w:rsidR="00535121">
        <w:t xml:space="preserve"> pp.</w:t>
      </w:r>
      <w:r>
        <w:t xml:space="preserve"> 671-684. </w:t>
      </w:r>
    </w:p>
    <w:p w14:paraId="2D8EABAA" w14:textId="58245E19" w:rsidR="0002091C" w:rsidRDefault="0002091C" w:rsidP="0002091C">
      <w:proofErr w:type="spellStart"/>
      <w:r>
        <w:t>Moshfeghi</w:t>
      </w:r>
      <w:proofErr w:type="spellEnd"/>
      <w:r w:rsidR="00535121">
        <w:t>,</w:t>
      </w:r>
      <w:r>
        <w:t xml:space="preserve"> MM 2015</w:t>
      </w:r>
      <w:r w:rsidR="00535121">
        <w:t>,</w:t>
      </w:r>
      <w:r>
        <w:t xml:space="preserve"> </w:t>
      </w:r>
      <w:r w:rsidRPr="00535121">
        <w:rPr>
          <w:i/>
          <w:iCs/>
        </w:rPr>
        <w:t>The bioavailability of perfluoroalkyl substances (PFASs) and polycyclic aromatic hydrocarbons (PAHs) in soil to Eisenia fetida and Cucurbita pepo</w:t>
      </w:r>
      <w:r>
        <w:t>, Swedish University of Agricultural Sciences, Faculty of Natural Resources and Agricultural Sciences. Uppsala, 2015.</w:t>
      </w:r>
    </w:p>
    <w:p w14:paraId="555C64F5" w14:textId="2F3423F5" w:rsidR="0002091C" w:rsidRDefault="0002091C" w:rsidP="0002091C">
      <w:r>
        <w:t xml:space="preserve">Navarro Martín, I, Torre </w:t>
      </w:r>
      <w:proofErr w:type="spellStart"/>
      <w:r>
        <w:t>Haro</w:t>
      </w:r>
      <w:proofErr w:type="spellEnd"/>
      <w:r>
        <w:t>, A</w:t>
      </w:r>
      <w:r w:rsidR="00535121">
        <w:t>D</w:t>
      </w:r>
      <w:r>
        <w:t xml:space="preserve">L, Sanz </w:t>
      </w:r>
      <w:proofErr w:type="spellStart"/>
      <w:r>
        <w:t>Chichón</w:t>
      </w:r>
      <w:proofErr w:type="spellEnd"/>
      <w:r>
        <w:t xml:space="preserve">, P, </w:t>
      </w:r>
      <w:proofErr w:type="spellStart"/>
      <w:r>
        <w:t>Porcel</w:t>
      </w:r>
      <w:proofErr w:type="spellEnd"/>
      <w:r>
        <w:t xml:space="preserve"> Cost, MÁ, </w:t>
      </w:r>
      <w:proofErr w:type="spellStart"/>
      <w:r>
        <w:t>Carbonell</w:t>
      </w:r>
      <w:proofErr w:type="spellEnd"/>
      <w:r>
        <w:t xml:space="preserve"> Martín, G &amp; Martínez Calvo, MÁ 2013</w:t>
      </w:r>
      <w:r w:rsidR="00535121">
        <w:t>,</w:t>
      </w:r>
      <w:r>
        <w:t xml:space="preserve"> </w:t>
      </w:r>
      <w:r w:rsidRPr="00535121">
        <w:rPr>
          <w:i/>
          <w:iCs/>
        </w:rPr>
        <w:t>Carryover of perfluorinated compounds from waste-amended soils to plants</w:t>
      </w:r>
      <w:r w:rsidR="00535121">
        <w:t xml:space="preserve">, </w:t>
      </w:r>
      <w:r>
        <w:t xml:space="preserve">IV </w:t>
      </w:r>
      <w:proofErr w:type="spellStart"/>
      <w:r>
        <w:t>Reunión</w:t>
      </w:r>
      <w:proofErr w:type="spellEnd"/>
      <w:r>
        <w:t xml:space="preserve"> Nacional de </w:t>
      </w:r>
      <w:proofErr w:type="spellStart"/>
      <w:r>
        <w:t>Dioxinas</w:t>
      </w:r>
      <w:proofErr w:type="spellEnd"/>
      <w:r>
        <w:t xml:space="preserve">, </w:t>
      </w:r>
      <w:proofErr w:type="spellStart"/>
      <w:r>
        <w:t>Furanos</w:t>
      </w:r>
      <w:proofErr w:type="spellEnd"/>
      <w:r>
        <w:t xml:space="preserve"> Y </w:t>
      </w:r>
      <w:proofErr w:type="spellStart"/>
      <w:r>
        <w:t>Compuestos</w:t>
      </w:r>
      <w:proofErr w:type="spellEnd"/>
      <w:r>
        <w:t xml:space="preserve"> </w:t>
      </w:r>
      <w:proofErr w:type="spellStart"/>
      <w:r>
        <w:t>Orgánicos</w:t>
      </w:r>
      <w:proofErr w:type="spellEnd"/>
      <w:r>
        <w:t xml:space="preserve"> </w:t>
      </w:r>
      <w:proofErr w:type="spellStart"/>
      <w:r>
        <w:t>Persistentes</w:t>
      </w:r>
      <w:proofErr w:type="spellEnd"/>
      <w:r>
        <w:t xml:space="preserve"> </w:t>
      </w:r>
      <w:proofErr w:type="spellStart"/>
      <w:r>
        <w:t>Relationados</w:t>
      </w:r>
      <w:proofErr w:type="spellEnd"/>
      <w:r>
        <w:t>.</w:t>
      </w:r>
    </w:p>
    <w:p w14:paraId="549A00CA" w14:textId="7E79E063" w:rsidR="0002091C" w:rsidRDefault="0002091C" w:rsidP="0002091C">
      <w:r>
        <w:t xml:space="preserve">OEH 2019. </w:t>
      </w:r>
      <w:r w:rsidRPr="00535121">
        <w:rPr>
          <w:i/>
          <w:iCs/>
        </w:rPr>
        <w:t xml:space="preserve">Human health soil screening criteria for PFOS, </w:t>
      </w:r>
      <w:proofErr w:type="spellStart"/>
      <w:r w:rsidRPr="00535121">
        <w:rPr>
          <w:i/>
          <w:iCs/>
        </w:rPr>
        <w:t>PFHxS</w:t>
      </w:r>
      <w:proofErr w:type="spellEnd"/>
      <w:r w:rsidRPr="00535121">
        <w:rPr>
          <w:i/>
          <w:iCs/>
        </w:rPr>
        <w:t xml:space="preserve"> and PFOA, The Office of Environment and Heritage</w:t>
      </w:r>
      <w:r w:rsidR="00535121">
        <w:t xml:space="preserve">, Office of the Environment and Heritage, </w:t>
      </w:r>
      <w:r w:rsidR="00022CFA">
        <w:t>Sydney</w:t>
      </w:r>
      <w:r w:rsidR="00535121">
        <w:t xml:space="preserve">. </w:t>
      </w:r>
      <w:hyperlink r:id="rId31" w:history="1">
        <w:r w:rsidR="008F2778" w:rsidRPr="008F2778">
          <w:rPr>
            <w:rStyle w:val="Hyperlink"/>
          </w:rPr>
          <w:t xml:space="preserve">Human Health Soil Screening Criteria for PFOS, </w:t>
        </w:r>
        <w:proofErr w:type="spellStart"/>
        <w:r w:rsidR="008F2778" w:rsidRPr="008F2778">
          <w:rPr>
            <w:rStyle w:val="Hyperlink"/>
          </w:rPr>
          <w:t>PFHxS</w:t>
        </w:r>
        <w:proofErr w:type="spellEnd"/>
        <w:r w:rsidR="008F2778" w:rsidRPr="008F2778">
          <w:rPr>
            <w:rStyle w:val="Hyperlink"/>
          </w:rPr>
          <w:t xml:space="preserve"> and PFOA (nsw.gov.au)</w:t>
        </w:r>
      </w:hyperlink>
    </w:p>
    <w:p w14:paraId="331D33E7" w14:textId="03FC1CE4" w:rsidR="0002091C" w:rsidRDefault="0002091C" w:rsidP="0002091C">
      <w:r>
        <w:t>NEMP 2018</w:t>
      </w:r>
      <w:r w:rsidR="00A205FA">
        <w:t>,</w:t>
      </w:r>
      <w:r>
        <w:t xml:space="preserve"> </w:t>
      </w:r>
      <w:r w:rsidRPr="00A205FA">
        <w:rPr>
          <w:i/>
          <w:iCs/>
        </w:rPr>
        <w:t>PFAS National Environmental Management Plan Version 1.0</w:t>
      </w:r>
      <w:r>
        <w:t xml:space="preserve"> Heads of EPA Australia and New Zealand</w:t>
      </w:r>
      <w:r w:rsidR="00A205FA">
        <w:t>, Canberra</w:t>
      </w:r>
      <w:r>
        <w:t>.</w:t>
      </w:r>
      <w:r w:rsidRPr="00D2484E">
        <w:t xml:space="preserve"> </w:t>
      </w:r>
    </w:p>
    <w:p w14:paraId="025CFBB0" w14:textId="44EED8C5" w:rsidR="0002091C" w:rsidRDefault="0002091C" w:rsidP="0002091C">
      <w:r>
        <w:t>NEMP 2020</w:t>
      </w:r>
      <w:r w:rsidR="00A205FA">
        <w:t>,</w:t>
      </w:r>
      <w:r>
        <w:t xml:space="preserve"> </w:t>
      </w:r>
      <w:r w:rsidRPr="00A205FA">
        <w:rPr>
          <w:i/>
          <w:iCs/>
        </w:rPr>
        <w:t>PFAS National Environmental Management Plan Version 2.0</w:t>
      </w:r>
      <w:r w:rsidR="00A205FA">
        <w:t>,</w:t>
      </w:r>
      <w:r>
        <w:t xml:space="preserve"> Heads of EPA Australia and New Zealand</w:t>
      </w:r>
      <w:r w:rsidR="00A205FA">
        <w:t>, Canberra</w:t>
      </w:r>
      <w:r>
        <w:t>.</w:t>
      </w:r>
      <w:r w:rsidRPr="00D2484E">
        <w:t xml:space="preserve"> </w:t>
      </w:r>
    </w:p>
    <w:p w14:paraId="44304F73" w14:textId="2ED0CFDD" w:rsidR="0002091C" w:rsidRDefault="0002091C" w:rsidP="0002091C">
      <w:r w:rsidRPr="00D2484E">
        <w:t>NEPC 2013</w:t>
      </w:r>
      <w:r w:rsidR="00A205FA">
        <w:t xml:space="preserve">, </w:t>
      </w:r>
      <w:r w:rsidRPr="00D2484E">
        <w:t xml:space="preserve">National Environment Protection (Assessment of Site Contamination) Measure 1999, Amended 2013. </w:t>
      </w:r>
      <w:r w:rsidRPr="00A205FA">
        <w:rPr>
          <w:i/>
          <w:iCs/>
        </w:rPr>
        <w:t>Schedule B5b Guideline on Methodology to Derive Ecological Investigation Levels in Contaminated Soils</w:t>
      </w:r>
      <w:r w:rsidR="00A205FA">
        <w:t>,</w:t>
      </w:r>
      <w:r w:rsidRPr="00D2484E">
        <w:t xml:space="preserve"> The National Environment Protection Council. </w:t>
      </w:r>
      <w:r w:rsidR="00A205FA">
        <w:t>Canberra.</w:t>
      </w:r>
    </w:p>
    <w:p w14:paraId="0C64D7AF" w14:textId="77777777" w:rsidR="0002091C" w:rsidRPr="005F65EF" w:rsidRDefault="0002091C" w:rsidP="0002091C">
      <w:pPr>
        <w:pStyle w:val="References"/>
        <w:numPr>
          <w:ilvl w:val="0"/>
          <w:numId w:val="35"/>
        </w:numPr>
        <w:rPr>
          <w:rFonts w:ascii="Cambria" w:eastAsiaTheme="minorHAnsi" w:hAnsi="Cambria" w:cstheme="minorBidi"/>
          <w:lang w:eastAsia="en-US"/>
        </w:rPr>
      </w:pPr>
      <w:r w:rsidRPr="005F65EF">
        <w:rPr>
          <w:rFonts w:ascii="Cambria" w:eastAsiaTheme="minorHAnsi" w:hAnsi="Cambria" w:cstheme="minorBidi"/>
          <w:lang w:eastAsia="en-US"/>
        </w:rPr>
        <w:t xml:space="preserve">NEPC, </w:t>
      </w:r>
      <w:r w:rsidRPr="00A205FA">
        <w:rPr>
          <w:rFonts w:ascii="Cambria" w:eastAsiaTheme="minorHAnsi" w:hAnsi="Cambria" w:cstheme="minorBidi"/>
          <w:i/>
          <w:iCs/>
          <w:lang w:eastAsia="en-US"/>
        </w:rPr>
        <w:t>ASC NEPM Toolbox HILs Spreadsheet</w:t>
      </w:r>
      <w:r w:rsidRPr="005F65EF">
        <w:rPr>
          <w:rFonts w:ascii="Cambria" w:eastAsiaTheme="minorHAnsi" w:hAnsi="Cambria" w:cstheme="minorBidi"/>
          <w:lang w:eastAsia="en-US"/>
        </w:rPr>
        <w:t xml:space="preserve">, National Environment Protection Council, Parkes ACT, </w:t>
      </w:r>
      <w:hyperlink r:id="rId32" w:history="1">
        <w:r w:rsidRPr="005F65EF">
          <w:rPr>
            <w:rFonts w:ascii="Cambria" w:eastAsiaTheme="minorHAnsi" w:hAnsi="Cambria" w:cstheme="minorBidi"/>
            <w:lang w:eastAsia="en-US"/>
          </w:rPr>
          <w:t>http://nepc.gov.au/nepms/assessment-site-contamination/toolbox</w:t>
        </w:r>
      </w:hyperlink>
      <w:r w:rsidRPr="005F65EF">
        <w:rPr>
          <w:rFonts w:ascii="Cambria" w:eastAsiaTheme="minorHAnsi" w:hAnsi="Cambria" w:cstheme="minorBidi"/>
          <w:lang w:eastAsia="en-US"/>
        </w:rPr>
        <w:t>, accessed 2017 and 2021.</w:t>
      </w:r>
    </w:p>
    <w:p w14:paraId="13B30415" w14:textId="209ED268" w:rsidR="0002091C" w:rsidRDefault="0002091C" w:rsidP="0002091C">
      <w:r>
        <w:lastRenderedPageBreak/>
        <w:t>Stahl</w:t>
      </w:r>
      <w:r w:rsidR="00A205FA">
        <w:t>,</w:t>
      </w:r>
      <w:r>
        <w:t xml:space="preserve"> H, </w:t>
      </w:r>
      <w:proofErr w:type="spellStart"/>
      <w:r>
        <w:t>Heyn</w:t>
      </w:r>
      <w:proofErr w:type="spellEnd"/>
      <w:r w:rsidR="00A205FA">
        <w:t>,</w:t>
      </w:r>
      <w:r>
        <w:t xml:space="preserve"> J, Thiele</w:t>
      </w:r>
      <w:r w:rsidR="00A205FA">
        <w:t>,</w:t>
      </w:r>
      <w:r>
        <w:t xml:space="preserve"> H, </w:t>
      </w:r>
      <w:proofErr w:type="spellStart"/>
      <w:r>
        <w:t>Hüther</w:t>
      </w:r>
      <w:proofErr w:type="spellEnd"/>
      <w:r w:rsidR="00A205FA">
        <w:t>,</w:t>
      </w:r>
      <w:r>
        <w:t xml:space="preserve"> J, Failing</w:t>
      </w:r>
      <w:r w:rsidR="00A205FA">
        <w:t>,</w:t>
      </w:r>
      <w:r>
        <w:t xml:space="preserve"> K, </w:t>
      </w:r>
      <w:proofErr w:type="spellStart"/>
      <w:r>
        <w:t>Georgii</w:t>
      </w:r>
      <w:proofErr w:type="spellEnd"/>
      <w:r w:rsidR="00A205FA">
        <w:t>,</w:t>
      </w:r>
      <w:r>
        <w:t xml:space="preserve"> S </w:t>
      </w:r>
      <w:r w:rsidR="00A205FA">
        <w:t>&amp;</w:t>
      </w:r>
      <w:r>
        <w:t xml:space="preserve"> </w:t>
      </w:r>
      <w:proofErr w:type="spellStart"/>
      <w:r>
        <w:t>Brunn</w:t>
      </w:r>
      <w:proofErr w:type="spellEnd"/>
      <w:r w:rsidR="00A205FA">
        <w:t>,</w:t>
      </w:r>
      <w:r>
        <w:t xml:space="preserve"> H 2009</w:t>
      </w:r>
      <w:r w:rsidR="00A205FA">
        <w:t>,</w:t>
      </w:r>
      <w:r>
        <w:t xml:space="preserve"> </w:t>
      </w:r>
      <w:r w:rsidR="00A205FA">
        <w:t>‘</w:t>
      </w:r>
      <w:r>
        <w:t xml:space="preserve">Carryover of Perfluorooctanoic Acid (PFOA) and </w:t>
      </w:r>
      <w:proofErr w:type="spellStart"/>
      <w:r>
        <w:t>Perfluorooctane</w:t>
      </w:r>
      <w:proofErr w:type="spellEnd"/>
      <w:r>
        <w:t xml:space="preserve"> Sulfonate (PFOS) from Soil to Plants</w:t>
      </w:r>
      <w:r w:rsidR="00A205FA">
        <w:t>’</w:t>
      </w:r>
      <w:r>
        <w:t xml:space="preserve">, </w:t>
      </w:r>
      <w:r w:rsidRPr="00A205FA">
        <w:rPr>
          <w:i/>
          <w:iCs/>
        </w:rPr>
        <w:t>Archives of Environmental Contamination and Toxicology</w:t>
      </w:r>
      <w:r>
        <w:t xml:space="preserve">, </w:t>
      </w:r>
      <w:r w:rsidR="00A205FA">
        <w:t xml:space="preserve">vol. </w:t>
      </w:r>
      <w:r>
        <w:t>57,</w:t>
      </w:r>
      <w:r w:rsidR="00A205FA">
        <w:t xml:space="preserve"> pp.</w:t>
      </w:r>
      <w:r>
        <w:t xml:space="preserve"> 289–298.</w:t>
      </w:r>
    </w:p>
    <w:p w14:paraId="55B0533F" w14:textId="6096D542" w:rsidR="0002091C" w:rsidRDefault="0002091C" w:rsidP="0002091C">
      <w:r>
        <w:t xml:space="preserve">Tian, Y, Yao, Y, Chang, S, Zhao, Z, Zhao, Y, Yuan, X, Wu, F </w:t>
      </w:r>
      <w:r w:rsidR="00A205FA">
        <w:t>&amp;</w:t>
      </w:r>
      <w:r>
        <w:t xml:space="preserve"> Sun, H, 2018</w:t>
      </w:r>
      <w:r w:rsidR="00A205FA">
        <w:t>,</w:t>
      </w:r>
      <w:r>
        <w:t xml:space="preserve"> </w:t>
      </w:r>
      <w:r w:rsidR="00A205FA">
        <w:t>‘</w:t>
      </w:r>
      <w:r>
        <w:t>Occurrence and phase distribution of neutral and ionizable per-and polyfluoroalkyl substances (PFASs) in the atmosphere and plant leaves around landfills: a case study in Tianjin, China</w:t>
      </w:r>
      <w:r w:rsidR="00A205FA">
        <w:t>’,</w:t>
      </w:r>
      <w:r>
        <w:t xml:space="preserve"> </w:t>
      </w:r>
      <w:r w:rsidRPr="00A205FA">
        <w:rPr>
          <w:i/>
          <w:iCs/>
        </w:rPr>
        <w:t>Environmental Science &amp; Technology</w:t>
      </w:r>
      <w:r>
        <w:t xml:space="preserve">, </w:t>
      </w:r>
      <w:r w:rsidR="00A205FA">
        <w:t xml:space="preserve">vol. </w:t>
      </w:r>
      <w:r>
        <w:t>52</w:t>
      </w:r>
      <w:r w:rsidR="00A205FA">
        <w:t xml:space="preserve">, no. </w:t>
      </w:r>
      <w:r>
        <w:t xml:space="preserve">3, </w:t>
      </w:r>
      <w:r w:rsidR="00A205FA">
        <w:t xml:space="preserve">pp. </w:t>
      </w:r>
      <w:r>
        <w:t>1301-1310.</w:t>
      </w:r>
    </w:p>
    <w:p w14:paraId="68768BE0" w14:textId="1DF0C7E3" w:rsidR="0002091C" w:rsidRDefault="0002091C" w:rsidP="0002091C">
      <w:r>
        <w:t xml:space="preserve">USDA 2018, </w:t>
      </w:r>
      <w:r w:rsidRPr="00A205FA">
        <w:rPr>
          <w:i/>
          <w:iCs/>
        </w:rPr>
        <w:t>National Nutrient Database for Standard Reference Legacy Release</w:t>
      </w:r>
      <w:r>
        <w:t>, United States Department of Agriculture, Agricultural Research Service, Washington DC</w:t>
      </w:r>
      <w:r w:rsidR="005B011F">
        <w:t>.</w:t>
      </w:r>
    </w:p>
    <w:p w14:paraId="26E0F11C" w14:textId="7B943A26" w:rsidR="0002091C" w:rsidRDefault="0002091C" w:rsidP="0002091C">
      <w:r>
        <w:t>Wen</w:t>
      </w:r>
      <w:r w:rsidR="00714765">
        <w:t>,</w:t>
      </w:r>
      <w:r>
        <w:t xml:space="preserve"> B, Li</w:t>
      </w:r>
      <w:r w:rsidR="00714765">
        <w:t>,</w:t>
      </w:r>
      <w:r>
        <w:t xml:space="preserve"> L, Zhang</w:t>
      </w:r>
      <w:r w:rsidR="00714765">
        <w:t>,</w:t>
      </w:r>
      <w:r>
        <w:t xml:space="preserve"> H, Mab</w:t>
      </w:r>
      <w:r w:rsidR="00714765">
        <w:t>,</w:t>
      </w:r>
      <w:r>
        <w:t xml:space="preserve"> Y, Shan</w:t>
      </w:r>
      <w:r w:rsidR="00714765">
        <w:t>,</w:t>
      </w:r>
      <w:r>
        <w:t xml:space="preserve"> X-Q</w:t>
      </w:r>
      <w:r w:rsidR="00714765">
        <w:t xml:space="preserve"> &amp;</w:t>
      </w:r>
      <w:r>
        <w:t xml:space="preserve"> Zhang</w:t>
      </w:r>
      <w:r w:rsidR="00714765">
        <w:t>,</w:t>
      </w:r>
      <w:r>
        <w:t xml:space="preserve"> S 2014</w:t>
      </w:r>
      <w:r w:rsidR="00714765">
        <w:t>,</w:t>
      </w:r>
      <w:r>
        <w:t xml:space="preserve"> </w:t>
      </w:r>
      <w:r w:rsidR="00714765">
        <w:t>‘</w:t>
      </w:r>
      <w:r>
        <w:t>Field study on the uptake and translocation of perfluoroalkyl acids (PFAAs) by wheat (</w:t>
      </w:r>
      <w:r w:rsidRPr="002376F4">
        <w:rPr>
          <w:i/>
          <w:iCs/>
        </w:rPr>
        <w:t xml:space="preserve">Triticum </w:t>
      </w:r>
      <w:proofErr w:type="spellStart"/>
      <w:r w:rsidRPr="002376F4">
        <w:rPr>
          <w:i/>
          <w:iCs/>
        </w:rPr>
        <w:t>aestivum</w:t>
      </w:r>
      <w:proofErr w:type="spellEnd"/>
      <w:r w:rsidRPr="002376F4">
        <w:rPr>
          <w:i/>
          <w:iCs/>
        </w:rPr>
        <w:t xml:space="preserve"> L</w:t>
      </w:r>
      <w:r>
        <w:t>.) grown in biosolids-amended soils</w:t>
      </w:r>
      <w:r w:rsidR="00714765">
        <w:t>’,</w:t>
      </w:r>
      <w:r>
        <w:t xml:space="preserve"> </w:t>
      </w:r>
      <w:r w:rsidRPr="00714765">
        <w:rPr>
          <w:i/>
          <w:iCs/>
        </w:rPr>
        <w:t>Environmental Pollution</w:t>
      </w:r>
      <w:r>
        <w:t xml:space="preserve">, </w:t>
      </w:r>
      <w:r w:rsidR="00714765">
        <w:t xml:space="preserve">vol. </w:t>
      </w:r>
      <w:r>
        <w:t xml:space="preserve">184, </w:t>
      </w:r>
      <w:r w:rsidR="00714765">
        <w:t xml:space="preserve">pp. </w:t>
      </w:r>
      <w:r>
        <w:t>547–554.</w:t>
      </w:r>
    </w:p>
    <w:p w14:paraId="1E8E85C2" w14:textId="20318A61" w:rsidR="0002091C" w:rsidRDefault="0002091C" w:rsidP="0002091C">
      <w:r>
        <w:t>Wen</w:t>
      </w:r>
      <w:r w:rsidR="00714765">
        <w:t>,</w:t>
      </w:r>
      <w:r>
        <w:t xml:space="preserve"> B, Wu</w:t>
      </w:r>
      <w:r w:rsidR="00714765">
        <w:t>,</w:t>
      </w:r>
      <w:r>
        <w:t xml:space="preserve"> Y, Zhang</w:t>
      </w:r>
      <w:r w:rsidR="00714765">
        <w:t>,</w:t>
      </w:r>
      <w:r>
        <w:t xml:space="preserve"> H, Liu</w:t>
      </w:r>
      <w:r w:rsidR="00714765">
        <w:t>,</w:t>
      </w:r>
      <w:r>
        <w:t xml:space="preserve"> Y, Hu</w:t>
      </w:r>
      <w:r w:rsidR="00714765">
        <w:t>,</w:t>
      </w:r>
      <w:r>
        <w:t xml:space="preserve"> X, Huang</w:t>
      </w:r>
      <w:r w:rsidR="00714765">
        <w:t>,</w:t>
      </w:r>
      <w:r>
        <w:t xml:space="preserve"> H </w:t>
      </w:r>
      <w:r w:rsidR="00714765">
        <w:t>&amp;</w:t>
      </w:r>
      <w:r>
        <w:t xml:space="preserve"> Zhang</w:t>
      </w:r>
      <w:r w:rsidR="00714765">
        <w:t>,</w:t>
      </w:r>
      <w:r>
        <w:t xml:space="preserve"> S 2016</w:t>
      </w:r>
      <w:r w:rsidR="00714765">
        <w:t>,</w:t>
      </w:r>
      <w:r>
        <w:t xml:space="preserve"> </w:t>
      </w:r>
      <w:r w:rsidR="00714765">
        <w:t>‘</w:t>
      </w:r>
      <w:r>
        <w:t xml:space="preserve">The roles of protein and lipid in the accumulation and distribution of </w:t>
      </w:r>
      <w:proofErr w:type="spellStart"/>
      <w:r>
        <w:t>perfluorooctane</w:t>
      </w:r>
      <w:proofErr w:type="spellEnd"/>
      <w:r>
        <w:t xml:space="preserve"> sulfonate (PFOS) and perfluorooctanoate (PFOA) in plants grown in biosolids-amended soils</w:t>
      </w:r>
      <w:r w:rsidR="00714765">
        <w:t>’,</w:t>
      </w:r>
      <w:r>
        <w:t xml:space="preserve"> </w:t>
      </w:r>
      <w:r w:rsidRPr="00714765">
        <w:rPr>
          <w:i/>
          <w:iCs/>
        </w:rPr>
        <w:t>Environmental Pollution</w:t>
      </w:r>
      <w:r>
        <w:t xml:space="preserve">, </w:t>
      </w:r>
      <w:r w:rsidR="00714765">
        <w:t xml:space="preserve">vol. </w:t>
      </w:r>
      <w:r>
        <w:t xml:space="preserve">216, </w:t>
      </w:r>
      <w:r w:rsidR="00714765">
        <w:t xml:space="preserve">pp. </w:t>
      </w:r>
      <w:r>
        <w:t>682–688.</w:t>
      </w:r>
    </w:p>
    <w:p w14:paraId="5CAE1AFF" w14:textId="6B86BCE8" w:rsidR="0002091C" w:rsidRPr="002376F4" w:rsidRDefault="0002091C" w:rsidP="0002091C">
      <w:pPr>
        <w:rPr>
          <w:lang w:val="en"/>
        </w:rPr>
      </w:pPr>
      <w:r w:rsidRPr="002376F4">
        <w:rPr>
          <w:lang w:val="en"/>
        </w:rPr>
        <w:t>Zhao</w:t>
      </w:r>
      <w:r w:rsidR="00714765">
        <w:rPr>
          <w:lang w:val="en"/>
        </w:rPr>
        <w:t>,</w:t>
      </w:r>
      <w:r w:rsidRPr="002376F4">
        <w:rPr>
          <w:lang w:val="en"/>
        </w:rPr>
        <w:t xml:space="preserve"> S, </w:t>
      </w:r>
      <w:proofErr w:type="spellStart"/>
      <w:r w:rsidRPr="002376F4">
        <w:rPr>
          <w:lang w:val="en"/>
        </w:rPr>
        <w:t>Shuhong</w:t>
      </w:r>
      <w:proofErr w:type="spellEnd"/>
      <w:r w:rsidR="00714765">
        <w:rPr>
          <w:lang w:val="en"/>
        </w:rPr>
        <w:t>,</w:t>
      </w:r>
      <w:r w:rsidRPr="002376F4">
        <w:rPr>
          <w:lang w:val="en"/>
        </w:rPr>
        <w:t xml:space="preserve"> F, Zhu</w:t>
      </w:r>
      <w:r w:rsidR="00714765">
        <w:rPr>
          <w:lang w:val="en"/>
        </w:rPr>
        <w:t>,</w:t>
      </w:r>
      <w:r w:rsidRPr="002376F4">
        <w:rPr>
          <w:lang w:val="en"/>
        </w:rPr>
        <w:t xml:space="preserve"> L, Liu</w:t>
      </w:r>
      <w:r w:rsidR="00714765">
        <w:rPr>
          <w:lang w:val="en"/>
        </w:rPr>
        <w:t>,</w:t>
      </w:r>
      <w:r w:rsidRPr="002376F4">
        <w:rPr>
          <w:lang w:val="en"/>
        </w:rPr>
        <w:t xml:space="preserve"> L, Liu</w:t>
      </w:r>
      <w:r w:rsidR="00714765">
        <w:rPr>
          <w:lang w:val="en"/>
        </w:rPr>
        <w:t>,</w:t>
      </w:r>
      <w:r w:rsidRPr="002376F4">
        <w:rPr>
          <w:lang w:val="en"/>
        </w:rPr>
        <w:t xml:space="preserve"> Z </w:t>
      </w:r>
      <w:r w:rsidR="00714765">
        <w:rPr>
          <w:lang w:val="en"/>
        </w:rPr>
        <w:t>&amp;</w:t>
      </w:r>
      <w:r w:rsidRPr="002376F4">
        <w:rPr>
          <w:lang w:val="en"/>
        </w:rPr>
        <w:t xml:space="preserve"> Zhang</w:t>
      </w:r>
      <w:r w:rsidR="00714765">
        <w:rPr>
          <w:lang w:val="en"/>
        </w:rPr>
        <w:t>,</w:t>
      </w:r>
      <w:r w:rsidRPr="002376F4">
        <w:rPr>
          <w:lang w:val="en"/>
        </w:rPr>
        <w:t xml:space="preserve"> Y 2014</w:t>
      </w:r>
      <w:r>
        <w:rPr>
          <w:lang w:val="en"/>
        </w:rPr>
        <w:t>.</w:t>
      </w:r>
      <w:r w:rsidRPr="002376F4">
        <w:rPr>
          <w:lang w:val="en"/>
        </w:rPr>
        <w:t xml:space="preserve"> </w:t>
      </w:r>
      <w:r w:rsidR="00714765">
        <w:rPr>
          <w:lang w:val="en"/>
        </w:rPr>
        <w:t>‘</w:t>
      </w:r>
      <w:r w:rsidRPr="002376F4">
        <w:rPr>
          <w:lang w:val="en"/>
        </w:rPr>
        <w:t>Mutual impacts of wheat (</w:t>
      </w:r>
      <w:r w:rsidRPr="002376F4">
        <w:rPr>
          <w:i/>
          <w:iCs/>
          <w:lang w:val="en"/>
        </w:rPr>
        <w:t xml:space="preserve">Triticum </w:t>
      </w:r>
      <w:proofErr w:type="spellStart"/>
      <w:r w:rsidRPr="002376F4">
        <w:rPr>
          <w:i/>
          <w:iCs/>
          <w:lang w:val="en"/>
        </w:rPr>
        <w:t>aestivum</w:t>
      </w:r>
      <w:proofErr w:type="spellEnd"/>
      <w:r w:rsidRPr="002376F4">
        <w:rPr>
          <w:i/>
          <w:iCs/>
          <w:lang w:val="en"/>
        </w:rPr>
        <w:t xml:space="preserve"> L</w:t>
      </w:r>
      <w:r w:rsidRPr="002376F4">
        <w:rPr>
          <w:lang w:val="en"/>
        </w:rPr>
        <w:t>.) and earthworms (</w:t>
      </w:r>
      <w:r w:rsidRPr="002376F4">
        <w:rPr>
          <w:i/>
          <w:iCs/>
          <w:lang w:val="en"/>
        </w:rPr>
        <w:t>Eisenia fetida</w:t>
      </w:r>
      <w:r w:rsidRPr="002376F4">
        <w:rPr>
          <w:lang w:val="en"/>
        </w:rPr>
        <w:t>) on the bioavailability of perfluoroalkyl substances (PFASs) in soil</w:t>
      </w:r>
      <w:r w:rsidR="00714765">
        <w:rPr>
          <w:lang w:val="en"/>
        </w:rPr>
        <w:t>’,</w:t>
      </w:r>
      <w:r w:rsidRPr="002376F4">
        <w:rPr>
          <w:lang w:val="en"/>
        </w:rPr>
        <w:t xml:space="preserve"> </w:t>
      </w:r>
      <w:r w:rsidRPr="00714765">
        <w:rPr>
          <w:i/>
          <w:iCs/>
          <w:lang w:val="en"/>
        </w:rPr>
        <w:t>Environmental Pollution</w:t>
      </w:r>
      <w:r w:rsidR="00714765">
        <w:rPr>
          <w:lang w:val="en"/>
        </w:rPr>
        <w:t>,</w:t>
      </w:r>
      <w:r w:rsidRPr="002376F4">
        <w:rPr>
          <w:lang w:val="en"/>
        </w:rPr>
        <w:t xml:space="preserve"> </w:t>
      </w:r>
      <w:r w:rsidR="00714765">
        <w:rPr>
          <w:lang w:val="en"/>
        </w:rPr>
        <w:t xml:space="preserve">vol. </w:t>
      </w:r>
      <w:r w:rsidRPr="002376F4">
        <w:rPr>
          <w:lang w:val="en"/>
        </w:rPr>
        <w:t xml:space="preserve">184, </w:t>
      </w:r>
      <w:r w:rsidR="00714765">
        <w:rPr>
          <w:lang w:val="en"/>
        </w:rPr>
        <w:t xml:space="preserve">pp. </w:t>
      </w:r>
      <w:r w:rsidRPr="002376F4">
        <w:rPr>
          <w:lang w:val="en"/>
        </w:rPr>
        <w:t>495–501</w:t>
      </w:r>
      <w:r>
        <w:rPr>
          <w:lang w:val="en"/>
        </w:rPr>
        <w:t>.</w:t>
      </w:r>
    </w:p>
    <w:p w14:paraId="297EAAEA" w14:textId="03A44F71" w:rsidR="00F770CC" w:rsidRDefault="00F770CC" w:rsidP="004636DE">
      <w:pPr>
        <w:pStyle w:val="Heading2"/>
        <w:numPr>
          <w:ilvl w:val="0"/>
          <w:numId w:val="0"/>
        </w:numPr>
        <w:ind w:left="720"/>
      </w:pPr>
      <w:bookmarkStart w:id="30" w:name="_Appendix_A_:"/>
      <w:bookmarkStart w:id="31" w:name="_Toc112151560"/>
      <w:bookmarkEnd w:id="30"/>
      <w:r>
        <w:lastRenderedPageBreak/>
        <w:t xml:space="preserve">Appendix </w:t>
      </w:r>
      <w:proofErr w:type="gramStart"/>
      <w:r>
        <w:t>A :</w:t>
      </w:r>
      <w:proofErr w:type="gramEnd"/>
      <w:r>
        <w:t xml:space="preserve"> Summary of transfer factors considered for deriving the HIL A</w:t>
      </w:r>
      <w:bookmarkEnd w:id="31"/>
    </w:p>
    <w:p w14:paraId="77318F26" w14:textId="77777777" w:rsidR="002A2F4A" w:rsidRPr="00B25F69" w:rsidRDefault="002A2F4A" w:rsidP="002A2F4A">
      <w:pPr>
        <w:pStyle w:val="BodyText"/>
        <w:numPr>
          <w:ilvl w:val="0"/>
          <w:numId w:val="35"/>
        </w:numPr>
        <w:tabs>
          <w:tab w:val="left" w:pos="720"/>
        </w:tabs>
        <w:spacing w:before="120" w:line="240" w:lineRule="auto"/>
        <w:rPr>
          <w:color w:val="000000" w:themeColor="text1"/>
        </w:rPr>
      </w:pPr>
      <w:r>
        <w:t xml:space="preserve">The TFs summarised </w:t>
      </w:r>
      <w:r w:rsidRPr="00DA5164">
        <w:t>in Tables 2 to 4</w:t>
      </w:r>
      <w:r>
        <w:t xml:space="preserve"> show there is considerable variation in TFs for the same plant species. This variation in part is due to variability from different soil types used in the studies </w:t>
      </w:r>
      <w:proofErr w:type="gramStart"/>
      <w:r>
        <w:t>and also</w:t>
      </w:r>
      <w:proofErr w:type="gramEnd"/>
      <w:r>
        <w:t xml:space="preserve"> in some instances dependence on soil concentration, where higher soil concentrations result in lower TFs. This finding supports the use of the maximum TF for each plant category, rather than using the mean or median, which would underestimate plant concentrations in sandier soils and/or less contaminated soils. </w:t>
      </w:r>
    </w:p>
    <w:p w14:paraId="434D998B" w14:textId="77777777" w:rsidR="002A2F4A" w:rsidRDefault="002A2F4A" w:rsidP="002A2F4A">
      <w:pPr>
        <w:pStyle w:val="BodyText"/>
        <w:numPr>
          <w:ilvl w:val="0"/>
          <w:numId w:val="35"/>
        </w:numPr>
        <w:tabs>
          <w:tab w:val="left" w:pos="720"/>
        </w:tabs>
        <w:spacing w:before="120" w:line="240" w:lineRule="auto"/>
        <w:rPr>
          <w:color w:val="000000" w:themeColor="text1"/>
        </w:rPr>
      </w:pPr>
      <w:r>
        <w:rPr>
          <w:color w:val="000000" w:themeColor="text1"/>
        </w:rPr>
        <w:t xml:space="preserve">The sections below provide a summary on the TFs considered when deriving the </w:t>
      </w:r>
      <w:proofErr w:type="gramStart"/>
      <w:r>
        <w:rPr>
          <w:color w:val="000000" w:themeColor="text1"/>
        </w:rPr>
        <w:t>HIL</w:t>
      </w:r>
      <w:proofErr w:type="gramEnd"/>
      <w:r>
        <w:rPr>
          <w:color w:val="000000" w:themeColor="text1"/>
        </w:rPr>
        <w:t xml:space="preserve"> A criteria for PFAS. </w:t>
      </w:r>
    </w:p>
    <w:p w14:paraId="6E161062" w14:textId="47347ECE" w:rsidR="002A2F4A" w:rsidRDefault="0033168F" w:rsidP="004636DE">
      <w:pPr>
        <w:pStyle w:val="Heading3"/>
        <w:numPr>
          <w:ilvl w:val="0"/>
          <w:numId w:val="0"/>
        </w:numPr>
      </w:pPr>
      <w:bookmarkStart w:id="32" w:name="_Toc89245857"/>
      <w:bookmarkStart w:id="33" w:name="_Toc112151561"/>
      <w:r>
        <w:t xml:space="preserve">A.1 </w:t>
      </w:r>
      <w:r w:rsidR="002A2F4A">
        <w:t xml:space="preserve">PFOS + </w:t>
      </w:r>
      <w:proofErr w:type="spellStart"/>
      <w:r w:rsidR="002A2F4A">
        <w:t>PFHxS</w:t>
      </w:r>
      <w:bookmarkEnd w:id="32"/>
      <w:bookmarkEnd w:id="33"/>
      <w:proofErr w:type="spellEnd"/>
      <w:r w:rsidR="002A2F4A">
        <w:t xml:space="preserve"> </w:t>
      </w:r>
    </w:p>
    <w:p w14:paraId="686FCDFF" w14:textId="77777777" w:rsidR="002D3155" w:rsidRPr="002D3155" w:rsidRDefault="002D3155" w:rsidP="002D3155">
      <w:pPr>
        <w:rPr>
          <w:sz w:val="6"/>
          <w:szCs w:val="6"/>
        </w:rPr>
      </w:pPr>
    </w:p>
    <w:p w14:paraId="5F7F6341" w14:textId="77777777" w:rsidR="002A2F4A" w:rsidRDefault="002A2F4A" w:rsidP="002A2F4A">
      <w:pPr>
        <w:pStyle w:val="Heading5"/>
      </w:pPr>
      <w:bookmarkStart w:id="34" w:name="_Toc89245858"/>
      <w:r>
        <w:t>PFOS TFs</w:t>
      </w:r>
      <w:bookmarkEnd w:id="34"/>
    </w:p>
    <w:p w14:paraId="20258AF8" w14:textId="5C55B16E" w:rsidR="002A2F4A" w:rsidRDefault="002A2F4A" w:rsidP="002A2F4A">
      <w:r>
        <w:t xml:space="preserve">For PFOS a total of 16 relevant publications were identified and used to derive the soil screening criteria published in NEMP 2.0 (refer to OEH 2019). An additional 3 relevant publications were added as part of the </w:t>
      </w:r>
      <w:r w:rsidR="00C746FF">
        <w:t xml:space="preserve">this </w:t>
      </w:r>
      <w:r>
        <w:t>review undertaken in 2021</w:t>
      </w:r>
      <w:r w:rsidR="00441951">
        <w:t xml:space="preserve"> to determine if the HIL A value listed for PFOA in NEMP 2.0 is appropriate</w:t>
      </w:r>
      <w:r>
        <w:t xml:space="preserve"> (see </w:t>
      </w:r>
      <w:r w:rsidR="00441951">
        <w:t xml:space="preserve">information in Background chapter, </w:t>
      </w:r>
      <w:r>
        <w:t xml:space="preserve">section on PFOA below and </w:t>
      </w:r>
      <w:hyperlink w:anchor="_Appendix_B:_Sensitivity" w:history="1">
        <w:r w:rsidRPr="00110CD0">
          <w:rPr>
            <w:rStyle w:val="Hyperlink"/>
          </w:rPr>
          <w:t>Appendix B</w:t>
        </w:r>
      </w:hyperlink>
      <w:r>
        <w:t>). TFs assessed for PFOS are summarised in</w:t>
      </w:r>
      <w:r w:rsidR="004636DE">
        <w:t xml:space="preserve"> </w:t>
      </w:r>
      <w:r w:rsidR="004636DE">
        <w:fldChar w:fldCharType="begin"/>
      </w:r>
      <w:r w:rsidR="004636DE">
        <w:instrText xml:space="preserve"> REF _Ref112678673 \h </w:instrText>
      </w:r>
      <w:r w:rsidR="004636DE">
        <w:fldChar w:fldCharType="separate"/>
      </w:r>
      <w:r w:rsidR="004636DE">
        <w:t>Table A</w:t>
      </w:r>
      <w:r w:rsidR="004636DE">
        <w:rPr>
          <w:noProof/>
        </w:rPr>
        <w:t>1</w:t>
      </w:r>
      <w:r w:rsidR="004636DE">
        <w:fldChar w:fldCharType="end"/>
      </w:r>
      <w:r>
        <w:t xml:space="preserve">. </w:t>
      </w:r>
      <w:r w:rsidRPr="000451F0">
        <w:t xml:space="preserve">The maximum TF for each category was selected for deriving the soil criterion. </w:t>
      </w:r>
    </w:p>
    <w:p w14:paraId="6B3B15C0" w14:textId="32C82C5B" w:rsidR="009153D9" w:rsidRDefault="004636DE" w:rsidP="009153D9">
      <w:pPr>
        <w:pStyle w:val="Caption"/>
      </w:pPr>
      <w:bookmarkStart w:id="35" w:name="_Ref112678673"/>
      <w:bookmarkStart w:id="36" w:name="_Toc113611830"/>
      <w:r>
        <w:t>Table A</w:t>
      </w:r>
      <w:r w:rsidR="008D7C8F">
        <w:fldChar w:fldCharType="begin"/>
      </w:r>
      <w:r w:rsidR="008D7C8F">
        <w:instrText xml:space="preserve"> SEQ Table_A \* ARABIC </w:instrText>
      </w:r>
      <w:r w:rsidR="008D7C8F">
        <w:fldChar w:fldCharType="separate"/>
      </w:r>
      <w:r w:rsidR="006E6194">
        <w:rPr>
          <w:noProof/>
        </w:rPr>
        <w:t>1</w:t>
      </w:r>
      <w:r w:rsidR="008D7C8F">
        <w:rPr>
          <w:noProof/>
        </w:rPr>
        <w:fldChar w:fldCharType="end"/>
      </w:r>
      <w:bookmarkEnd w:id="35"/>
      <w:r>
        <w:t xml:space="preserve"> </w:t>
      </w:r>
      <w:r w:rsidR="009153D9" w:rsidRPr="00DD5322">
        <w:t>PFOS soil to plant transfer factors for ASC NEPM plant categories, calculated from data in the listed data sources</w:t>
      </w:r>
      <w:r w:rsidR="009153D9">
        <w:t>.</w:t>
      </w:r>
      <w:bookmarkEnd w:id="36"/>
      <w:r w:rsidR="009153D9">
        <w:t xml:space="preserve"> </w:t>
      </w:r>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S soil to plant transfer factors for ASC NEPM plant categories"/>
        <w:tblDescription w:val="PFOS soil to plant transfer factors shown. Celery is the green vegetavle with the highest transfer factor. Radish is the root vegetable with the highest transfer factor. Potatoe peel is the tuber vegetable with the highest transfer factor. Tomato is the fruit with the highest transfer factor."/>
      </w:tblPr>
      <w:tblGrid>
        <w:gridCol w:w="1001"/>
        <w:gridCol w:w="1263"/>
        <w:gridCol w:w="1349"/>
        <w:gridCol w:w="1300"/>
        <w:gridCol w:w="1787"/>
        <w:gridCol w:w="1157"/>
        <w:gridCol w:w="1213"/>
      </w:tblGrid>
      <w:tr w:rsidR="00567B7F" w14:paraId="61BAA7C6" w14:textId="55128412" w:rsidTr="00B11D37">
        <w:trPr>
          <w:tblHeader/>
        </w:trPr>
        <w:tc>
          <w:tcPr>
            <w:tcW w:w="0" w:type="auto"/>
          </w:tcPr>
          <w:p w14:paraId="3DED798F" w14:textId="77777777" w:rsidR="00C74E4C" w:rsidRDefault="00C74E4C" w:rsidP="00DB23E4">
            <w:pPr>
              <w:pStyle w:val="TableHeading"/>
            </w:pPr>
            <w:r>
              <w:t>Group</w:t>
            </w:r>
          </w:p>
        </w:tc>
        <w:tc>
          <w:tcPr>
            <w:tcW w:w="0" w:type="auto"/>
            <w:tcMar>
              <w:left w:w="108" w:type="dxa"/>
              <w:right w:w="108" w:type="dxa"/>
            </w:tcMar>
          </w:tcPr>
          <w:p w14:paraId="5A5D4421" w14:textId="77777777" w:rsidR="00C74E4C" w:rsidRDefault="00C74E4C" w:rsidP="00DB23E4">
            <w:pPr>
              <w:pStyle w:val="TableHeading"/>
            </w:pPr>
            <w:r>
              <w:t>Plant</w:t>
            </w:r>
          </w:p>
        </w:tc>
        <w:tc>
          <w:tcPr>
            <w:tcW w:w="0" w:type="auto"/>
            <w:tcMar>
              <w:left w:w="108" w:type="dxa"/>
              <w:right w:w="108" w:type="dxa"/>
            </w:tcMar>
          </w:tcPr>
          <w:p w14:paraId="470B9661" w14:textId="77777777" w:rsidR="00C74E4C" w:rsidRDefault="00C74E4C" w:rsidP="00DB23E4">
            <w:pPr>
              <w:pStyle w:val="TableHeading"/>
            </w:pPr>
            <w:r>
              <w:t>PFOS TF</w:t>
            </w:r>
          </w:p>
        </w:tc>
        <w:tc>
          <w:tcPr>
            <w:tcW w:w="0" w:type="auto"/>
            <w:tcMar>
              <w:left w:w="108" w:type="dxa"/>
              <w:right w:w="108" w:type="dxa"/>
            </w:tcMar>
          </w:tcPr>
          <w:p w14:paraId="2294F2C3" w14:textId="1377DD4B" w:rsidR="00C74E4C" w:rsidRDefault="00C74E4C" w:rsidP="00DB23E4">
            <w:pPr>
              <w:pStyle w:val="TableHeading"/>
            </w:pPr>
            <w:r>
              <w:t>C</w:t>
            </w:r>
            <w:r w:rsidR="003451D7">
              <w:t>a</w:t>
            </w:r>
            <w:r>
              <w:t>lculation basis</w:t>
            </w:r>
          </w:p>
        </w:tc>
        <w:tc>
          <w:tcPr>
            <w:tcW w:w="0" w:type="auto"/>
            <w:tcMar>
              <w:left w:w="108" w:type="dxa"/>
              <w:right w:w="108" w:type="dxa"/>
            </w:tcMar>
          </w:tcPr>
          <w:p w14:paraId="4731EF6B" w14:textId="77777777" w:rsidR="00C74E4C" w:rsidRDefault="00C74E4C" w:rsidP="00DB23E4">
            <w:pPr>
              <w:pStyle w:val="TableHeading"/>
            </w:pPr>
            <w:r>
              <w:t>Data source</w:t>
            </w:r>
          </w:p>
        </w:tc>
        <w:tc>
          <w:tcPr>
            <w:tcW w:w="0" w:type="auto"/>
          </w:tcPr>
          <w:p w14:paraId="04239E92" w14:textId="78714F73" w:rsidR="00C74E4C" w:rsidRPr="00C74E4C" w:rsidRDefault="003451D7" w:rsidP="00DB23E4">
            <w:pPr>
              <w:pStyle w:val="TableHeading"/>
              <w:rPr>
                <w:vertAlign w:val="superscript"/>
              </w:rPr>
            </w:pPr>
            <w:r>
              <w:t>%</w:t>
            </w:r>
            <w:r w:rsidR="00C74E4C">
              <w:t xml:space="preserve"> </w:t>
            </w:r>
            <w:proofErr w:type="gramStart"/>
            <w:r w:rsidR="00C74E4C">
              <w:t>moisture</w:t>
            </w:r>
            <w:proofErr w:type="gramEnd"/>
            <w:r w:rsidR="00C74E4C">
              <w:t xml:space="preserve"> content </w:t>
            </w:r>
            <w:r w:rsidR="00C74E4C">
              <w:rPr>
                <w:vertAlign w:val="superscript"/>
              </w:rPr>
              <w:t>a</w:t>
            </w:r>
          </w:p>
        </w:tc>
        <w:tc>
          <w:tcPr>
            <w:tcW w:w="0" w:type="auto"/>
          </w:tcPr>
          <w:p w14:paraId="426193DC" w14:textId="73D420CD" w:rsidR="00C74E4C" w:rsidRDefault="00C74E4C" w:rsidP="00DB23E4">
            <w:pPr>
              <w:pStyle w:val="TableHeading"/>
            </w:pPr>
            <w:r>
              <w:t>Max. TF adjusted to WW</w:t>
            </w:r>
          </w:p>
        </w:tc>
      </w:tr>
      <w:tr w:rsidR="002F1338" w14:paraId="3689CE57" w14:textId="77777777" w:rsidTr="00B11D37">
        <w:trPr>
          <w:tblHeader/>
        </w:trPr>
        <w:tc>
          <w:tcPr>
            <w:tcW w:w="0" w:type="auto"/>
          </w:tcPr>
          <w:p w14:paraId="3CDA0B70" w14:textId="77777777" w:rsidR="002F1338" w:rsidRDefault="002F1338" w:rsidP="00DB23E4">
            <w:pPr>
              <w:pStyle w:val="TableHeading"/>
            </w:pPr>
          </w:p>
        </w:tc>
        <w:tc>
          <w:tcPr>
            <w:tcW w:w="0" w:type="auto"/>
            <w:tcMar>
              <w:left w:w="108" w:type="dxa"/>
              <w:right w:w="108" w:type="dxa"/>
            </w:tcMar>
          </w:tcPr>
          <w:p w14:paraId="13F5A93F" w14:textId="77777777" w:rsidR="002F1338" w:rsidRDefault="002F1338" w:rsidP="00DB23E4">
            <w:pPr>
              <w:pStyle w:val="TableHeading"/>
            </w:pPr>
          </w:p>
        </w:tc>
        <w:tc>
          <w:tcPr>
            <w:tcW w:w="0" w:type="auto"/>
            <w:tcMar>
              <w:left w:w="108" w:type="dxa"/>
              <w:right w:w="108" w:type="dxa"/>
            </w:tcMar>
          </w:tcPr>
          <w:p w14:paraId="526A9C65" w14:textId="08A85250" w:rsidR="002F1338" w:rsidRDefault="002F1338" w:rsidP="00DB23E4">
            <w:pPr>
              <w:pStyle w:val="TableHeading"/>
            </w:pPr>
            <w:r w:rsidRPr="00DD5322">
              <w:t>mg/</w:t>
            </w:r>
            <w:proofErr w:type="spellStart"/>
            <w:r w:rsidRPr="00DD5322">
              <w:t>kg</w:t>
            </w:r>
            <w:r w:rsidRPr="004636DE">
              <w:rPr>
                <w:vertAlign w:val="subscript"/>
              </w:rPr>
              <w:t>plant</w:t>
            </w:r>
            <w:proofErr w:type="spellEnd"/>
            <w:r w:rsidRPr="00DD5322">
              <w:t xml:space="preserve"> / mg/</w:t>
            </w:r>
            <w:proofErr w:type="spellStart"/>
            <w:r w:rsidRPr="00DD5322">
              <w:t>kg</w:t>
            </w:r>
            <w:r w:rsidRPr="004636DE">
              <w:rPr>
                <w:vertAlign w:val="subscript"/>
              </w:rPr>
              <w:t>soil</w:t>
            </w:r>
            <w:proofErr w:type="spellEnd"/>
          </w:p>
        </w:tc>
        <w:tc>
          <w:tcPr>
            <w:tcW w:w="0" w:type="auto"/>
            <w:tcMar>
              <w:left w:w="108" w:type="dxa"/>
              <w:right w:w="108" w:type="dxa"/>
            </w:tcMar>
          </w:tcPr>
          <w:p w14:paraId="5EFEA59B" w14:textId="77777777" w:rsidR="002F1338" w:rsidRDefault="002F1338" w:rsidP="00DB23E4">
            <w:pPr>
              <w:pStyle w:val="TableHeading"/>
            </w:pPr>
          </w:p>
        </w:tc>
        <w:tc>
          <w:tcPr>
            <w:tcW w:w="0" w:type="auto"/>
            <w:tcMar>
              <w:left w:w="108" w:type="dxa"/>
              <w:right w:w="108" w:type="dxa"/>
            </w:tcMar>
          </w:tcPr>
          <w:p w14:paraId="6A24201F" w14:textId="77777777" w:rsidR="002F1338" w:rsidRDefault="002F1338" w:rsidP="00DB23E4">
            <w:pPr>
              <w:pStyle w:val="TableHeading"/>
            </w:pPr>
          </w:p>
        </w:tc>
        <w:tc>
          <w:tcPr>
            <w:tcW w:w="0" w:type="auto"/>
          </w:tcPr>
          <w:p w14:paraId="06F125EC" w14:textId="77777777" w:rsidR="002F1338" w:rsidRDefault="002F1338" w:rsidP="00DB23E4">
            <w:pPr>
              <w:pStyle w:val="TableHeading"/>
            </w:pPr>
          </w:p>
        </w:tc>
        <w:tc>
          <w:tcPr>
            <w:tcW w:w="0" w:type="auto"/>
          </w:tcPr>
          <w:p w14:paraId="6C488E59" w14:textId="77777777" w:rsidR="002F1338" w:rsidRDefault="002F1338" w:rsidP="00DB23E4">
            <w:pPr>
              <w:pStyle w:val="TableHeading"/>
            </w:pPr>
          </w:p>
        </w:tc>
      </w:tr>
      <w:tr w:rsidR="00567B7F" w14:paraId="5B6745D4" w14:textId="34723949" w:rsidTr="00B11D37">
        <w:tc>
          <w:tcPr>
            <w:tcW w:w="0" w:type="auto"/>
            <w:vMerge w:val="restart"/>
          </w:tcPr>
          <w:p w14:paraId="7A893C0A" w14:textId="022DE564" w:rsidR="00567B7F" w:rsidRPr="00DA71B8" w:rsidRDefault="00567B7F" w:rsidP="00567B7F">
            <w:pPr>
              <w:pStyle w:val="TableText0"/>
            </w:pPr>
            <w:r>
              <w:t xml:space="preserve">Green Vegetable </w:t>
            </w:r>
          </w:p>
        </w:tc>
        <w:tc>
          <w:tcPr>
            <w:tcW w:w="0" w:type="auto"/>
            <w:shd w:val="clear" w:color="auto" w:fill="FFFFFF" w:themeFill="background1"/>
            <w:tcMar>
              <w:left w:w="108" w:type="dxa"/>
              <w:right w:w="108" w:type="dxa"/>
            </w:tcMar>
          </w:tcPr>
          <w:p w14:paraId="7DD15439" w14:textId="12DCB16C" w:rsidR="00567B7F" w:rsidRPr="004636DE" w:rsidRDefault="00567B7F" w:rsidP="00567B7F">
            <w:pPr>
              <w:pStyle w:val="TableText0"/>
              <w:rPr>
                <w:b/>
                <w:bCs/>
              </w:rPr>
            </w:pPr>
            <w:r w:rsidRPr="004636DE">
              <w:rPr>
                <w:rFonts w:cs="Arial"/>
                <w:b/>
                <w:bCs/>
                <w:sz w:val="20"/>
                <w:szCs w:val="20"/>
              </w:rPr>
              <w:t>Celery</w:t>
            </w:r>
          </w:p>
        </w:tc>
        <w:tc>
          <w:tcPr>
            <w:tcW w:w="0" w:type="auto"/>
            <w:shd w:val="clear" w:color="auto" w:fill="FFFFFF" w:themeFill="background1"/>
            <w:tcMar>
              <w:left w:w="108" w:type="dxa"/>
              <w:right w:w="108" w:type="dxa"/>
            </w:tcMar>
          </w:tcPr>
          <w:p w14:paraId="62991401" w14:textId="0CF7D5D7" w:rsidR="00567B7F" w:rsidRPr="004636DE" w:rsidRDefault="00567B7F" w:rsidP="00567B7F">
            <w:pPr>
              <w:pStyle w:val="TableText0"/>
              <w:rPr>
                <w:b/>
                <w:bCs/>
              </w:rPr>
            </w:pPr>
            <w:r w:rsidRPr="004636DE">
              <w:rPr>
                <w:rFonts w:cs="Arial"/>
                <w:b/>
                <w:bCs/>
                <w:sz w:val="20"/>
                <w:szCs w:val="20"/>
              </w:rPr>
              <w:t>1.4</w:t>
            </w:r>
          </w:p>
        </w:tc>
        <w:tc>
          <w:tcPr>
            <w:tcW w:w="0" w:type="auto"/>
            <w:shd w:val="clear" w:color="auto" w:fill="FFFFFF" w:themeFill="background1"/>
            <w:tcMar>
              <w:left w:w="108" w:type="dxa"/>
              <w:right w:w="108" w:type="dxa"/>
            </w:tcMar>
          </w:tcPr>
          <w:p w14:paraId="25A14999" w14:textId="3A8C1B01" w:rsidR="00567B7F" w:rsidRPr="004636DE" w:rsidRDefault="00567B7F" w:rsidP="00567B7F">
            <w:pPr>
              <w:pStyle w:val="TableText0"/>
              <w:rPr>
                <w:b/>
                <w:bCs/>
              </w:rPr>
            </w:pPr>
            <w:r w:rsidRPr="004636DE">
              <w:rPr>
                <w:rFonts w:cs="Arial"/>
                <w:b/>
                <w:bCs/>
                <w:sz w:val="20"/>
                <w:szCs w:val="20"/>
              </w:rPr>
              <w:t>DW</w:t>
            </w:r>
          </w:p>
        </w:tc>
        <w:tc>
          <w:tcPr>
            <w:tcW w:w="0" w:type="auto"/>
            <w:shd w:val="clear" w:color="auto" w:fill="FFFFFF" w:themeFill="background1"/>
            <w:tcMar>
              <w:left w:w="108" w:type="dxa"/>
              <w:right w:w="108" w:type="dxa"/>
            </w:tcMar>
          </w:tcPr>
          <w:p w14:paraId="37914740" w14:textId="685F1F57" w:rsidR="00567B7F" w:rsidRPr="004636DE" w:rsidRDefault="00567B7F" w:rsidP="00567B7F">
            <w:pPr>
              <w:pStyle w:val="TableText0"/>
              <w:rPr>
                <w:b/>
                <w:bCs/>
              </w:rPr>
            </w:pPr>
            <w:r w:rsidRPr="004636DE">
              <w:rPr>
                <w:rFonts w:cs="Arial"/>
                <w:b/>
                <w:bCs/>
                <w:sz w:val="20"/>
                <w:szCs w:val="20"/>
              </w:rPr>
              <w:t>Blaine et al. 2014</w:t>
            </w:r>
          </w:p>
        </w:tc>
        <w:tc>
          <w:tcPr>
            <w:tcW w:w="0" w:type="auto"/>
            <w:shd w:val="clear" w:color="auto" w:fill="FFFFFF" w:themeFill="background1"/>
          </w:tcPr>
          <w:p w14:paraId="0676496E" w14:textId="24422A0B" w:rsidR="00567B7F" w:rsidRPr="004636DE" w:rsidRDefault="00567B7F" w:rsidP="00567B7F">
            <w:pPr>
              <w:pStyle w:val="TableText0"/>
              <w:rPr>
                <w:rFonts w:cstheme="minorHAnsi"/>
                <w:b/>
                <w:bCs/>
                <w:sz w:val="20"/>
                <w:szCs w:val="20"/>
              </w:rPr>
            </w:pPr>
            <w:r w:rsidRPr="004636DE">
              <w:rPr>
                <w:rFonts w:cs="Arial"/>
                <w:b/>
                <w:bCs/>
                <w:sz w:val="20"/>
                <w:szCs w:val="20"/>
              </w:rPr>
              <w:t>86*</w:t>
            </w:r>
          </w:p>
        </w:tc>
        <w:tc>
          <w:tcPr>
            <w:tcW w:w="0" w:type="auto"/>
            <w:shd w:val="clear" w:color="auto" w:fill="FFFFFF" w:themeFill="background1"/>
          </w:tcPr>
          <w:p w14:paraId="1D0C819C" w14:textId="1953AEE2" w:rsidR="00567B7F" w:rsidRPr="004636DE" w:rsidRDefault="00567B7F" w:rsidP="00567B7F">
            <w:pPr>
              <w:pStyle w:val="TableText0"/>
              <w:rPr>
                <w:rFonts w:cstheme="minorHAnsi"/>
                <w:b/>
                <w:bCs/>
                <w:sz w:val="20"/>
                <w:szCs w:val="20"/>
              </w:rPr>
            </w:pPr>
            <w:r w:rsidRPr="004636DE">
              <w:rPr>
                <w:rFonts w:cs="Arial"/>
                <w:b/>
                <w:bCs/>
                <w:sz w:val="20"/>
                <w:szCs w:val="20"/>
              </w:rPr>
              <w:t>0.20</w:t>
            </w:r>
          </w:p>
        </w:tc>
      </w:tr>
      <w:tr w:rsidR="00567B7F" w14:paraId="06372A93" w14:textId="03D4FA38" w:rsidTr="00B11D37">
        <w:tc>
          <w:tcPr>
            <w:tcW w:w="0" w:type="auto"/>
            <w:vMerge/>
          </w:tcPr>
          <w:p w14:paraId="23EEBF38" w14:textId="77777777" w:rsidR="00567B7F" w:rsidRPr="00DA71B8" w:rsidRDefault="00567B7F" w:rsidP="00567B7F">
            <w:pPr>
              <w:pStyle w:val="TableText0"/>
            </w:pPr>
          </w:p>
        </w:tc>
        <w:tc>
          <w:tcPr>
            <w:tcW w:w="0" w:type="auto"/>
            <w:tcMar>
              <w:left w:w="108" w:type="dxa"/>
              <w:right w:w="108" w:type="dxa"/>
            </w:tcMar>
          </w:tcPr>
          <w:p w14:paraId="192A7BB9" w14:textId="5FC6158F" w:rsidR="00567B7F" w:rsidRDefault="00567B7F" w:rsidP="00567B7F">
            <w:pPr>
              <w:pStyle w:val="TableText0"/>
            </w:pPr>
            <w:r w:rsidRPr="00325B0D">
              <w:rPr>
                <w:rFonts w:cs="Arial"/>
                <w:sz w:val="20"/>
                <w:szCs w:val="20"/>
              </w:rPr>
              <w:t>Lettuce</w:t>
            </w:r>
          </w:p>
        </w:tc>
        <w:tc>
          <w:tcPr>
            <w:tcW w:w="0" w:type="auto"/>
            <w:tcMar>
              <w:left w:w="108" w:type="dxa"/>
              <w:right w:w="108" w:type="dxa"/>
            </w:tcMar>
          </w:tcPr>
          <w:p w14:paraId="0DD91A6A" w14:textId="297DD00E" w:rsidR="00567B7F" w:rsidRDefault="00567B7F" w:rsidP="00567B7F">
            <w:pPr>
              <w:pStyle w:val="TableText0"/>
            </w:pPr>
            <w:r w:rsidRPr="00325B0D">
              <w:rPr>
                <w:rFonts w:cs="Arial"/>
                <w:sz w:val="20"/>
                <w:szCs w:val="20"/>
              </w:rPr>
              <w:t>0.1 – 0.2</w:t>
            </w:r>
          </w:p>
        </w:tc>
        <w:tc>
          <w:tcPr>
            <w:tcW w:w="0" w:type="auto"/>
            <w:tcMar>
              <w:left w:w="108" w:type="dxa"/>
              <w:right w:w="108" w:type="dxa"/>
            </w:tcMar>
          </w:tcPr>
          <w:p w14:paraId="5CD6FC71" w14:textId="4B2AEF11" w:rsidR="00567B7F" w:rsidRDefault="00567B7F" w:rsidP="00567B7F">
            <w:pPr>
              <w:pStyle w:val="TableText0"/>
            </w:pPr>
            <w:r w:rsidRPr="00325B0D">
              <w:rPr>
                <w:rFonts w:cs="Arial"/>
                <w:sz w:val="20"/>
                <w:szCs w:val="20"/>
              </w:rPr>
              <w:t>DW</w:t>
            </w:r>
          </w:p>
        </w:tc>
        <w:tc>
          <w:tcPr>
            <w:tcW w:w="0" w:type="auto"/>
            <w:tcMar>
              <w:left w:w="108" w:type="dxa"/>
              <w:right w:w="108" w:type="dxa"/>
            </w:tcMar>
          </w:tcPr>
          <w:p w14:paraId="3E9F7423" w14:textId="40DB2129" w:rsidR="00567B7F" w:rsidRDefault="00567B7F" w:rsidP="00567B7F">
            <w:pPr>
              <w:pStyle w:val="TableText0"/>
            </w:pPr>
            <w:proofErr w:type="spellStart"/>
            <w:r w:rsidRPr="00325B0D">
              <w:rPr>
                <w:rFonts w:cs="Arial"/>
                <w:sz w:val="20"/>
                <w:szCs w:val="20"/>
              </w:rPr>
              <w:t>Bizkarguenaga</w:t>
            </w:r>
            <w:proofErr w:type="spellEnd"/>
            <w:r w:rsidRPr="00325B0D">
              <w:rPr>
                <w:rFonts w:cs="Arial"/>
                <w:sz w:val="20"/>
                <w:szCs w:val="20"/>
              </w:rPr>
              <w:t xml:space="preserve"> et al. 2016</w:t>
            </w:r>
          </w:p>
        </w:tc>
        <w:tc>
          <w:tcPr>
            <w:tcW w:w="0" w:type="auto"/>
          </w:tcPr>
          <w:p w14:paraId="286493A1" w14:textId="3193F5E4" w:rsidR="00567B7F" w:rsidRPr="00325B0D" w:rsidRDefault="00567B7F" w:rsidP="00567B7F">
            <w:pPr>
              <w:pStyle w:val="TableText0"/>
              <w:rPr>
                <w:rFonts w:cstheme="minorHAnsi"/>
                <w:sz w:val="20"/>
                <w:szCs w:val="20"/>
              </w:rPr>
            </w:pPr>
            <w:r w:rsidRPr="00325B0D">
              <w:rPr>
                <w:rFonts w:cs="Arial"/>
                <w:sz w:val="20"/>
                <w:szCs w:val="20"/>
              </w:rPr>
              <w:t>96</w:t>
            </w:r>
          </w:p>
        </w:tc>
        <w:tc>
          <w:tcPr>
            <w:tcW w:w="0" w:type="auto"/>
          </w:tcPr>
          <w:p w14:paraId="1C8FE0D5" w14:textId="144CF70F" w:rsidR="00567B7F" w:rsidRPr="00325B0D" w:rsidRDefault="00567B7F" w:rsidP="00567B7F">
            <w:pPr>
              <w:pStyle w:val="TableText0"/>
              <w:rPr>
                <w:rFonts w:cstheme="minorHAnsi"/>
                <w:sz w:val="20"/>
                <w:szCs w:val="20"/>
              </w:rPr>
            </w:pPr>
            <w:r w:rsidRPr="00325B0D">
              <w:rPr>
                <w:rFonts w:cs="Arial"/>
                <w:sz w:val="20"/>
                <w:szCs w:val="20"/>
              </w:rPr>
              <w:t>0.01</w:t>
            </w:r>
          </w:p>
        </w:tc>
      </w:tr>
      <w:tr w:rsidR="00567B7F" w14:paraId="62BD2D0B" w14:textId="56B0FE7B" w:rsidTr="00B11D37">
        <w:tc>
          <w:tcPr>
            <w:tcW w:w="0" w:type="auto"/>
            <w:vMerge/>
          </w:tcPr>
          <w:p w14:paraId="0D69044D" w14:textId="77777777" w:rsidR="00567B7F" w:rsidRPr="00DA71B8" w:rsidRDefault="00567B7F" w:rsidP="00567B7F">
            <w:pPr>
              <w:pStyle w:val="TableText0"/>
            </w:pPr>
          </w:p>
        </w:tc>
        <w:tc>
          <w:tcPr>
            <w:tcW w:w="0" w:type="auto"/>
            <w:tcMar>
              <w:left w:w="108" w:type="dxa"/>
              <w:right w:w="108" w:type="dxa"/>
            </w:tcMar>
          </w:tcPr>
          <w:p w14:paraId="10D6A89C" w14:textId="356F9675" w:rsidR="00567B7F" w:rsidRDefault="00567B7F" w:rsidP="00567B7F">
            <w:pPr>
              <w:pStyle w:val="TableText0"/>
            </w:pPr>
            <w:r w:rsidRPr="00325B0D">
              <w:rPr>
                <w:rFonts w:cs="Arial"/>
                <w:sz w:val="20"/>
                <w:szCs w:val="20"/>
              </w:rPr>
              <w:t>Lettuce</w:t>
            </w:r>
          </w:p>
        </w:tc>
        <w:tc>
          <w:tcPr>
            <w:tcW w:w="0" w:type="auto"/>
            <w:tcMar>
              <w:left w:w="108" w:type="dxa"/>
              <w:right w:w="108" w:type="dxa"/>
            </w:tcMar>
          </w:tcPr>
          <w:p w14:paraId="160F29B6" w14:textId="36D9AF5A" w:rsidR="00567B7F" w:rsidRDefault="00567B7F" w:rsidP="00567B7F">
            <w:pPr>
              <w:pStyle w:val="TableText0"/>
            </w:pPr>
            <w:r w:rsidRPr="00325B0D">
              <w:rPr>
                <w:rFonts w:cs="Arial"/>
                <w:sz w:val="20"/>
                <w:szCs w:val="20"/>
              </w:rPr>
              <w:t>0.1 – 1.7</w:t>
            </w:r>
          </w:p>
        </w:tc>
        <w:tc>
          <w:tcPr>
            <w:tcW w:w="0" w:type="auto"/>
            <w:tcMar>
              <w:left w:w="108" w:type="dxa"/>
              <w:right w:w="108" w:type="dxa"/>
            </w:tcMar>
          </w:tcPr>
          <w:p w14:paraId="5EBFF811" w14:textId="30FC27D4" w:rsidR="00567B7F" w:rsidRDefault="00567B7F" w:rsidP="00567B7F">
            <w:pPr>
              <w:pStyle w:val="TableText0"/>
            </w:pPr>
            <w:r w:rsidRPr="00325B0D">
              <w:rPr>
                <w:rFonts w:cs="Arial"/>
                <w:sz w:val="20"/>
                <w:szCs w:val="20"/>
              </w:rPr>
              <w:t>DW</w:t>
            </w:r>
          </w:p>
        </w:tc>
        <w:tc>
          <w:tcPr>
            <w:tcW w:w="0" w:type="auto"/>
            <w:tcMar>
              <w:left w:w="108" w:type="dxa"/>
              <w:right w:w="108" w:type="dxa"/>
            </w:tcMar>
          </w:tcPr>
          <w:p w14:paraId="059C92EC" w14:textId="4DF39264" w:rsidR="00567B7F" w:rsidRDefault="00567B7F" w:rsidP="00567B7F">
            <w:pPr>
              <w:pStyle w:val="TableText0"/>
            </w:pPr>
            <w:r w:rsidRPr="00325B0D">
              <w:rPr>
                <w:rFonts w:cs="Arial"/>
                <w:sz w:val="20"/>
                <w:szCs w:val="20"/>
              </w:rPr>
              <w:t>Blaine et al. 2013</w:t>
            </w:r>
          </w:p>
        </w:tc>
        <w:tc>
          <w:tcPr>
            <w:tcW w:w="0" w:type="auto"/>
          </w:tcPr>
          <w:p w14:paraId="13CD59A0" w14:textId="1443E078" w:rsidR="00567B7F" w:rsidRPr="00325B0D" w:rsidRDefault="00567B7F" w:rsidP="00567B7F">
            <w:pPr>
              <w:pStyle w:val="TableText0"/>
              <w:rPr>
                <w:rFonts w:cstheme="minorHAnsi"/>
                <w:sz w:val="20"/>
                <w:szCs w:val="20"/>
              </w:rPr>
            </w:pPr>
            <w:r w:rsidRPr="00325B0D">
              <w:rPr>
                <w:rFonts w:cs="Arial"/>
                <w:sz w:val="20"/>
                <w:szCs w:val="20"/>
              </w:rPr>
              <w:t>96</w:t>
            </w:r>
          </w:p>
        </w:tc>
        <w:tc>
          <w:tcPr>
            <w:tcW w:w="0" w:type="auto"/>
          </w:tcPr>
          <w:p w14:paraId="5F1F89E0" w14:textId="0B0722C7" w:rsidR="00567B7F" w:rsidRPr="00325B0D" w:rsidRDefault="00567B7F" w:rsidP="00567B7F">
            <w:pPr>
              <w:pStyle w:val="TableText0"/>
              <w:rPr>
                <w:rFonts w:cstheme="minorHAnsi"/>
                <w:sz w:val="20"/>
                <w:szCs w:val="20"/>
              </w:rPr>
            </w:pPr>
            <w:r w:rsidRPr="00325B0D">
              <w:rPr>
                <w:rFonts w:cs="Arial"/>
                <w:sz w:val="20"/>
                <w:szCs w:val="20"/>
              </w:rPr>
              <w:t>0.07</w:t>
            </w:r>
          </w:p>
        </w:tc>
      </w:tr>
      <w:tr w:rsidR="00567B7F" w14:paraId="0EBF3548" w14:textId="57F9445E" w:rsidTr="00B11D37">
        <w:tc>
          <w:tcPr>
            <w:tcW w:w="0" w:type="auto"/>
            <w:vMerge/>
          </w:tcPr>
          <w:p w14:paraId="0E75D983" w14:textId="77777777" w:rsidR="00567B7F" w:rsidRPr="00DA71B8" w:rsidRDefault="00567B7F" w:rsidP="00567B7F">
            <w:pPr>
              <w:pStyle w:val="TableText0"/>
            </w:pPr>
          </w:p>
        </w:tc>
        <w:tc>
          <w:tcPr>
            <w:tcW w:w="0" w:type="auto"/>
            <w:tcMar>
              <w:left w:w="108" w:type="dxa"/>
              <w:right w:w="108" w:type="dxa"/>
            </w:tcMar>
          </w:tcPr>
          <w:p w14:paraId="5A263A40" w14:textId="17447541" w:rsidR="00567B7F" w:rsidRDefault="00567B7F" w:rsidP="00567B7F">
            <w:pPr>
              <w:pStyle w:val="TableText0"/>
            </w:pPr>
            <w:r w:rsidRPr="00325B0D">
              <w:rPr>
                <w:rFonts w:cs="Arial"/>
                <w:sz w:val="20"/>
                <w:szCs w:val="20"/>
              </w:rPr>
              <w:t>Lettuce</w:t>
            </w:r>
          </w:p>
        </w:tc>
        <w:tc>
          <w:tcPr>
            <w:tcW w:w="0" w:type="auto"/>
            <w:tcMar>
              <w:left w:w="108" w:type="dxa"/>
              <w:right w:w="108" w:type="dxa"/>
            </w:tcMar>
          </w:tcPr>
          <w:p w14:paraId="079583EB" w14:textId="62A51C70" w:rsidR="00567B7F" w:rsidRDefault="00567B7F" w:rsidP="00567B7F">
            <w:pPr>
              <w:pStyle w:val="TableText0"/>
            </w:pPr>
            <w:r w:rsidRPr="00325B0D">
              <w:rPr>
                <w:rFonts w:cs="Arial"/>
                <w:sz w:val="20"/>
                <w:szCs w:val="20"/>
              </w:rPr>
              <w:t>0.7 – 2.2</w:t>
            </w:r>
          </w:p>
        </w:tc>
        <w:tc>
          <w:tcPr>
            <w:tcW w:w="0" w:type="auto"/>
            <w:tcMar>
              <w:left w:w="108" w:type="dxa"/>
              <w:right w:w="108" w:type="dxa"/>
            </w:tcMar>
          </w:tcPr>
          <w:p w14:paraId="0DF2799C" w14:textId="1A6D89A1" w:rsidR="00567B7F" w:rsidRDefault="00567B7F" w:rsidP="00567B7F">
            <w:pPr>
              <w:pStyle w:val="TableText0"/>
            </w:pPr>
            <w:r w:rsidRPr="00325B0D">
              <w:rPr>
                <w:rFonts w:cs="Arial"/>
                <w:sz w:val="20"/>
                <w:szCs w:val="20"/>
              </w:rPr>
              <w:t>DW</w:t>
            </w:r>
          </w:p>
        </w:tc>
        <w:tc>
          <w:tcPr>
            <w:tcW w:w="0" w:type="auto"/>
            <w:tcMar>
              <w:left w:w="108" w:type="dxa"/>
              <w:right w:w="108" w:type="dxa"/>
            </w:tcMar>
          </w:tcPr>
          <w:p w14:paraId="2A3001BB" w14:textId="44E48393" w:rsidR="00567B7F" w:rsidRDefault="00567B7F" w:rsidP="00567B7F">
            <w:pPr>
              <w:pStyle w:val="TableText0"/>
            </w:pPr>
            <w:proofErr w:type="spellStart"/>
            <w:r w:rsidRPr="00325B0D">
              <w:rPr>
                <w:rFonts w:cs="Arial"/>
                <w:sz w:val="20"/>
                <w:szCs w:val="20"/>
              </w:rPr>
              <w:t>Brignole</w:t>
            </w:r>
            <w:proofErr w:type="spellEnd"/>
            <w:r w:rsidRPr="00325B0D">
              <w:rPr>
                <w:rFonts w:cs="Arial"/>
                <w:sz w:val="20"/>
                <w:szCs w:val="20"/>
              </w:rPr>
              <w:t xml:space="preserve"> et al. 2003</w:t>
            </w:r>
          </w:p>
        </w:tc>
        <w:tc>
          <w:tcPr>
            <w:tcW w:w="0" w:type="auto"/>
          </w:tcPr>
          <w:p w14:paraId="75CCEE5B" w14:textId="0D9871A7" w:rsidR="00567B7F" w:rsidRPr="00325B0D" w:rsidRDefault="00567B7F" w:rsidP="00567B7F">
            <w:pPr>
              <w:pStyle w:val="TableText0"/>
              <w:rPr>
                <w:rFonts w:cstheme="minorHAnsi"/>
                <w:sz w:val="20"/>
                <w:szCs w:val="20"/>
              </w:rPr>
            </w:pPr>
            <w:r w:rsidRPr="00325B0D">
              <w:rPr>
                <w:rFonts w:cs="Arial"/>
                <w:sz w:val="20"/>
                <w:szCs w:val="20"/>
              </w:rPr>
              <w:t>96</w:t>
            </w:r>
          </w:p>
        </w:tc>
        <w:tc>
          <w:tcPr>
            <w:tcW w:w="0" w:type="auto"/>
          </w:tcPr>
          <w:p w14:paraId="10C0BCDE" w14:textId="2C4CBF94" w:rsidR="00567B7F" w:rsidRPr="00325B0D" w:rsidRDefault="00567B7F" w:rsidP="00567B7F">
            <w:pPr>
              <w:pStyle w:val="TableText0"/>
              <w:rPr>
                <w:rFonts w:cstheme="minorHAnsi"/>
                <w:sz w:val="20"/>
                <w:szCs w:val="20"/>
              </w:rPr>
            </w:pPr>
            <w:r w:rsidRPr="00325B0D">
              <w:rPr>
                <w:rFonts w:cs="Arial"/>
                <w:sz w:val="20"/>
                <w:szCs w:val="20"/>
              </w:rPr>
              <w:t>0.09</w:t>
            </w:r>
          </w:p>
        </w:tc>
      </w:tr>
      <w:tr w:rsidR="00567B7F" w14:paraId="44A3C823" w14:textId="4D1A47A5" w:rsidTr="00B11D37">
        <w:tc>
          <w:tcPr>
            <w:tcW w:w="0" w:type="auto"/>
            <w:vMerge/>
          </w:tcPr>
          <w:p w14:paraId="586BD688" w14:textId="77777777" w:rsidR="00567B7F" w:rsidRPr="00DA71B8" w:rsidRDefault="00567B7F" w:rsidP="00567B7F">
            <w:pPr>
              <w:pStyle w:val="TableText0"/>
            </w:pPr>
          </w:p>
        </w:tc>
        <w:tc>
          <w:tcPr>
            <w:tcW w:w="0" w:type="auto"/>
            <w:tcMar>
              <w:left w:w="108" w:type="dxa"/>
              <w:right w:w="108" w:type="dxa"/>
            </w:tcMar>
          </w:tcPr>
          <w:p w14:paraId="3C121545" w14:textId="18F672F8" w:rsidR="00567B7F" w:rsidRDefault="00567B7F" w:rsidP="00567B7F">
            <w:pPr>
              <w:pStyle w:val="TableText0"/>
            </w:pPr>
            <w:r w:rsidRPr="00325B0D">
              <w:rPr>
                <w:rFonts w:cs="Arial"/>
                <w:sz w:val="20"/>
                <w:szCs w:val="20"/>
              </w:rPr>
              <w:t>Lettuce</w:t>
            </w:r>
          </w:p>
        </w:tc>
        <w:tc>
          <w:tcPr>
            <w:tcW w:w="0" w:type="auto"/>
            <w:tcMar>
              <w:left w:w="108" w:type="dxa"/>
              <w:right w:w="108" w:type="dxa"/>
            </w:tcMar>
          </w:tcPr>
          <w:p w14:paraId="1CC6C731" w14:textId="00CDCEA4" w:rsidR="00567B7F" w:rsidRDefault="00567B7F" w:rsidP="00567B7F">
            <w:pPr>
              <w:pStyle w:val="TableText0"/>
            </w:pPr>
            <w:r w:rsidRPr="00325B0D">
              <w:rPr>
                <w:rFonts w:cs="Arial"/>
                <w:sz w:val="20"/>
                <w:szCs w:val="20"/>
              </w:rPr>
              <w:t>0.4</w:t>
            </w:r>
          </w:p>
        </w:tc>
        <w:tc>
          <w:tcPr>
            <w:tcW w:w="0" w:type="auto"/>
            <w:tcMar>
              <w:left w:w="108" w:type="dxa"/>
              <w:right w:w="108" w:type="dxa"/>
            </w:tcMar>
          </w:tcPr>
          <w:p w14:paraId="10D47573" w14:textId="4429BB43" w:rsidR="00567B7F" w:rsidRDefault="00567B7F" w:rsidP="00567B7F">
            <w:pPr>
              <w:pStyle w:val="TableText0"/>
            </w:pPr>
            <w:r w:rsidRPr="00325B0D">
              <w:rPr>
                <w:rFonts w:cs="Arial"/>
                <w:sz w:val="20"/>
                <w:szCs w:val="20"/>
              </w:rPr>
              <w:t>DW</w:t>
            </w:r>
          </w:p>
        </w:tc>
        <w:tc>
          <w:tcPr>
            <w:tcW w:w="0" w:type="auto"/>
            <w:tcMar>
              <w:left w:w="108" w:type="dxa"/>
              <w:right w:w="108" w:type="dxa"/>
            </w:tcMar>
          </w:tcPr>
          <w:p w14:paraId="41AA7DAA" w14:textId="2E4C3D33" w:rsidR="00567B7F" w:rsidRDefault="00567B7F" w:rsidP="00567B7F">
            <w:pPr>
              <w:pStyle w:val="TableText0"/>
            </w:pPr>
            <w:r w:rsidRPr="00325B0D">
              <w:rPr>
                <w:rFonts w:cs="Arial"/>
                <w:sz w:val="20"/>
                <w:szCs w:val="20"/>
              </w:rPr>
              <w:t>Wen et al. 2016</w:t>
            </w:r>
          </w:p>
        </w:tc>
        <w:tc>
          <w:tcPr>
            <w:tcW w:w="0" w:type="auto"/>
          </w:tcPr>
          <w:p w14:paraId="44EBE191" w14:textId="3DD490E3" w:rsidR="00567B7F" w:rsidRPr="00325B0D" w:rsidRDefault="00567B7F" w:rsidP="00567B7F">
            <w:pPr>
              <w:pStyle w:val="TableText0"/>
              <w:rPr>
                <w:rFonts w:cstheme="minorHAnsi"/>
                <w:sz w:val="20"/>
                <w:szCs w:val="20"/>
              </w:rPr>
            </w:pPr>
            <w:r w:rsidRPr="00325B0D">
              <w:rPr>
                <w:rFonts w:cs="Arial"/>
                <w:sz w:val="20"/>
                <w:szCs w:val="20"/>
              </w:rPr>
              <w:t>96</w:t>
            </w:r>
          </w:p>
        </w:tc>
        <w:tc>
          <w:tcPr>
            <w:tcW w:w="0" w:type="auto"/>
          </w:tcPr>
          <w:p w14:paraId="043B6B39" w14:textId="1EC7399F" w:rsidR="00567B7F" w:rsidRPr="00325B0D" w:rsidRDefault="00567B7F" w:rsidP="00567B7F">
            <w:pPr>
              <w:pStyle w:val="TableText0"/>
              <w:rPr>
                <w:rFonts w:cstheme="minorHAnsi"/>
                <w:sz w:val="20"/>
                <w:szCs w:val="20"/>
              </w:rPr>
            </w:pPr>
            <w:r w:rsidRPr="00325B0D">
              <w:rPr>
                <w:rFonts w:cs="Arial"/>
                <w:sz w:val="20"/>
                <w:szCs w:val="20"/>
              </w:rPr>
              <w:t>0.02</w:t>
            </w:r>
          </w:p>
        </w:tc>
      </w:tr>
      <w:tr w:rsidR="00567B7F" w14:paraId="5B055AF9" w14:textId="768D1ADB" w:rsidTr="00B11D37">
        <w:tc>
          <w:tcPr>
            <w:tcW w:w="0" w:type="auto"/>
            <w:vMerge/>
          </w:tcPr>
          <w:p w14:paraId="5A41B756" w14:textId="77777777" w:rsidR="00567B7F" w:rsidRPr="00DA71B8" w:rsidRDefault="00567B7F" w:rsidP="00567B7F">
            <w:pPr>
              <w:pStyle w:val="TableText0"/>
            </w:pPr>
          </w:p>
        </w:tc>
        <w:tc>
          <w:tcPr>
            <w:tcW w:w="0" w:type="auto"/>
            <w:tcMar>
              <w:left w:w="108" w:type="dxa"/>
              <w:right w:w="108" w:type="dxa"/>
            </w:tcMar>
          </w:tcPr>
          <w:p w14:paraId="2623492B" w14:textId="2B21F39C" w:rsidR="00567B7F" w:rsidRDefault="00567B7F" w:rsidP="00567B7F">
            <w:pPr>
              <w:pStyle w:val="TableText0"/>
            </w:pPr>
            <w:r w:rsidRPr="00325B0D">
              <w:rPr>
                <w:rFonts w:cs="Arial"/>
                <w:sz w:val="20"/>
                <w:szCs w:val="20"/>
              </w:rPr>
              <w:t>Onion</w:t>
            </w:r>
          </w:p>
        </w:tc>
        <w:tc>
          <w:tcPr>
            <w:tcW w:w="0" w:type="auto"/>
            <w:tcMar>
              <w:left w:w="108" w:type="dxa"/>
              <w:right w:w="108" w:type="dxa"/>
            </w:tcMar>
          </w:tcPr>
          <w:p w14:paraId="32BAB1D1" w14:textId="0E318719" w:rsidR="00567B7F" w:rsidRDefault="00567B7F" w:rsidP="00567B7F">
            <w:pPr>
              <w:pStyle w:val="TableText0"/>
            </w:pPr>
            <w:r w:rsidRPr="00325B0D">
              <w:rPr>
                <w:rFonts w:cs="Arial"/>
                <w:sz w:val="20"/>
                <w:szCs w:val="20"/>
              </w:rPr>
              <w:t>0.8 – 1.4</w:t>
            </w:r>
          </w:p>
        </w:tc>
        <w:tc>
          <w:tcPr>
            <w:tcW w:w="0" w:type="auto"/>
            <w:tcMar>
              <w:left w:w="108" w:type="dxa"/>
              <w:right w:w="108" w:type="dxa"/>
            </w:tcMar>
          </w:tcPr>
          <w:p w14:paraId="3F44656F" w14:textId="52A9452F" w:rsidR="00567B7F" w:rsidRDefault="00567B7F" w:rsidP="00567B7F">
            <w:pPr>
              <w:pStyle w:val="TableText0"/>
            </w:pPr>
            <w:r w:rsidRPr="00325B0D">
              <w:rPr>
                <w:rFonts w:cs="Arial"/>
                <w:sz w:val="20"/>
                <w:szCs w:val="20"/>
              </w:rPr>
              <w:t>DW</w:t>
            </w:r>
          </w:p>
        </w:tc>
        <w:tc>
          <w:tcPr>
            <w:tcW w:w="0" w:type="auto"/>
            <w:tcMar>
              <w:left w:w="108" w:type="dxa"/>
              <w:right w:w="108" w:type="dxa"/>
            </w:tcMar>
          </w:tcPr>
          <w:p w14:paraId="3DF42A3E" w14:textId="424A3EF4" w:rsidR="00567B7F" w:rsidRDefault="00567B7F" w:rsidP="00567B7F">
            <w:pPr>
              <w:pStyle w:val="TableText0"/>
            </w:pPr>
            <w:proofErr w:type="spellStart"/>
            <w:r w:rsidRPr="00325B0D">
              <w:rPr>
                <w:rFonts w:cs="Arial"/>
                <w:sz w:val="20"/>
                <w:szCs w:val="20"/>
              </w:rPr>
              <w:t>Brignole</w:t>
            </w:r>
            <w:proofErr w:type="spellEnd"/>
            <w:r w:rsidRPr="00325B0D">
              <w:rPr>
                <w:rFonts w:cs="Arial"/>
                <w:sz w:val="20"/>
                <w:szCs w:val="20"/>
              </w:rPr>
              <w:t xml:space="preserve"> et al. 2003</w:t>
            </w:r>
          </w:p>
        </w:tc>
        <w:tc>
          <w:tcPr>
            <w:tcW w:w="0" w:type="auto"/>
          </w:tcPr>
          <w:p w14:paraId="3B941422" w14:textId="355DDC8D" w:rsidR="00567B7F" w:rsidRPr="00325B0D" w:rsidRDefault="00567B7F" w:rsidP="00567B7F">
            <w:pPr>
              <w:pStyle w:val="TableText0"/>
              <w:rPr>
                <w:rFonts w:cstheme="minorHAnsi"/>
                <w:sz w:val="20"/>
                <w:szCs w:val="20"/>
              </w:rPr>
            </w:pPr>
            <w:r w:rsidRPr="00325B0D">
              <w:rPr>
                <w:rFonts w:cs="Arial"/>
                <w:sz w:val="20"/>
                <w:szCs w:val="20"/>
              </w:rPr>
              <w:t>90</w:t>
            </w:r>
          </w:p>
        </w:tc>
        <w:tc>
          <w:tcPr>
            <w:tcW w:w="0" w:type="auto"/>
          </w:tcPr>
          <w:p w14:paraId="1E4C49C2" w14:textId="6CE2D2C1" w:rsidR="00567B7F" w:rsidRPr="00325B0D" w:rsidRDefault="00567B7F" w:rsidP="00567B7F">
            <w:pPr>
              <w:pStyle w:val="TableText0"/>
              <w:rPr>
                <w:rFonts w:cstheme="minorHAnsi"/>
                <w:sz w:val="20"/>
                <w:szCs w:val="20"/>
              </w:rPr>
            </w:pPr>
            <w:r w:rsidRPr="00325B0D">
              <w:rPr>
                <w:rFonts w:cs="Arial"/>
                <w:sz w:val="20"/>
                <w:szCs w:val="20"/>
              </w:rPr>
              <w:t>0.14</w:t>
            </w:r>
          </w:p>
        </w:tc>
      </w:tr>
      <w:tr w:rsidR="00567B7F" w14:paraId="2DF7FF46" w14:textId="6FB6573D" w:rsidTr="00B11D37">
        <w:tc>
          <w:tcPr>
            <w:tcW w:w="0" w:type="auto"/>
            <w:vMerge/>
          </w:tcPr>
          <w:p w14:paraId="777FE31D" w14:textId="77777777" w:rsidR="00567B7F" w:rsidRPr="00DA71B8" w:rsidRDefault="00567B7F" w:rsidP="00567B7F">
            <w:pPr>
              <w:pStyle w:val="TableText0"/>
            </w:pPr>
          </w:p>
        </w:tc>
        <w:tc>
          <w:tcPr>
            <w:tcW w:w="0" w:type="auto"/>
            <w:tcMar>
              <w:left w:w="108" w:type="dxa"/>
              <w:right w:w="108" w:type="dxa"/>
            </w:tcMar>
          </w:tcPr>
          <w:p w14:paraId="0038B584" w14:textId="7C87A39F" w:rsidR="00567B7F" w:rsidRPr="00597579" w:rsidRDefault="00567B7F" w:rsidP="00567B7F">
            <w:pPr>
              <w:pStyle w:val="TableText0"/>
              <w:rPr>
                <w:vertAlign w:val="superscript"/>
              </w:rPr>
            </w:pPr>
            <w:r w:rsidRPr="00325B0D">
              <w:rPr>
                <w:rFonts w:cs="Arial"/>
                <w:sz w:val="20"/>
                <w:szCs w:val="20"/>
              </w:rPr>
              <w:t xml:space="preserve">Chicory </w:t>
            </w:r>
            <w:proofErr w:type="spellStart"/>
            <w:r w:rsidRPr="00325B0D">
              <w:rPr>
                <w:rFonts w:cs="Arial"/>
                <w:sz w:val="20"/>
                <w:szCs w:val="20"/>
              </w:rPr>
              <w:t>head</w:t>
            </w:r>
            <w:r w:rsidR="00597579">
              <w:rPr>
                <w:rFonts w:cs="Arial"/>
                <w:sz w:val="20"/>
                <w:szCs w:val="20"/>
                <w:vertAlign w:val="superscript"/>
              </w:rPr>
              <w:t>b</w:t>
            </w:r>
            <w:proofErr w:type="spellEnd"/>
          </w:p>
        </w:tc>
        <w:tc>
          <w:tcPr>
            <w:tcW w:w="0" w:type="auto"/>
            <w:tcMar>
              <w:left w:w="108" w:type="dxa"/>
              <w:right w:w="108" w:type="dxa"/>
            </w:tcMar>
          </w:tcPr>
          <w:p w14:paraId="1A9844AC" w14:textId="248CCFA8" w:rsidR="00567B7F" w:rsidRDefault="00567B7F" w:rsidP="00567B7F">
            <w:pPr>
              <w:pStyle w:val="TableText0"/>
            </w:pPr>
            <w:r w:rsidRPr="00325B0D">
              <w:rPr>
                <w:rFonts w:cs="Arial"/>
                <w:sz w:val="20"/>
                <w:szCs w:val="20"/>
              </w:rPr>
              <w:t xml:space="preserve">1.2 – 2 </w:t>
            </w:r>
          </w:p>
        </w:tc>
        <w:tc>
          <w:tcPr>
            <w:tcW w:w="0" w:type="auto"/>
            <w:tcMar>
              <w:left w:w="108" w:type="dxa"/>
              <w:right w:w="108" w:type="dxa"/>
            </w:tcMar>
          </w:tcPr>
          <w:p w14:paraId="5E8F4B68" w14:textId="30B4E631" w:rsidR="00567B7F" w:rsidRDefault="00567B7F" w:rsidP="00567B7F">
            <w:pPr>
              <w:pStyle w:val="TableText0"/>
            </w:pPr>
            <w:r w:rsidRPr="00325B0D">
              <w:rPr>
                <w:rFonts w:cs="Arial"/>
                <w:sz w:val="20"/>
                <w:szCs w:val="20"/>
              </w:rPr>
              <w:t>DW</w:t>
            </w:r>
          </w:p>
        </w:tc>
        <w:tc>
          <w:tcPr>
            <w:tcW w:w="0" w:type="auto"/>
            <w:tcMar>
              <w:left w:w="108" w:type="dxa"/>
              <w:right w:w="108" w:type="dxa"/>
            </w:tcMar>
          </w:tcPr>
          <w:p w14:paraId="3A4CC395" w14:textId="544D62A2" w:rsidR="00567B7F" w:rsidRDefault="00567B7F" w:rsidP="00567B7F">
            <w:pPr>
              <w:pStyle w:val="TableText0"/>
            </w:pPr>
            <w:proofErr w:type="spellStart"/>
            <w:r w:rsidRPr="00325B0D">
              <w:rPr>
                <w:rFonts w:cs="Arial"/>
                <w:sz w:val="20"/>
                <w:szCs w:val="20"/>
              </w:rPr>
              <w:t>Gredelj</w:t>
            </w:r>
            <w:proofErr w:type="spellEnd"/>
            <w:r w:rsidRPr="00325B0D">
              <w:rPr>
                <w:rFonts w:cs="Arial"/>
                <w:sz w:val="20"/>
                <w:szCs w:val="20"/>
              </w:rPr>
              <w:t xml:space="preserve"> et al. 2020</w:t>
            </w:r>
          </w:p>
        </w:tc>
        <w:tc>
          <w:tcPr>
            <w:tcW w:w="0" w:type="auto"/>
          </w:tcPr>
          <w:p w14:paraId="1E67C02D" w14:textId="37CDB6F2" w:rsidR="00567B7F" w:rsidRPr="00325B0D" w:rsidRDefault="00567B7F" w:rsidP="00567B7F">
            <w:pPr>
              <w:pStyle w:val="TableText0"/>
              <w:rPr>
                <w:rFonts w:cstheme="minorHAnsi"/>
                <w:sz w:val="20"/>
                <w:szCs w:val="20"/>
              </w:rPr>
            </w:pPr>
            <w:r w:rsidRPr="00325B0D">
              <w:rPr>
                <w:rFonts w:cs="Arial"/>
                <w:sz w:val="20"/>
                <w:szCs w:val="20"/>
              </w:rPr>
              <w:t>92</w:t>
            </w:r>
          </w:p>
        </w:tc>
        <w:tc>
          <w:tcPr>
            <w:tcW w:w="0" w:type="auto"/>
          </w:tcPr>
          <w:p w14:paraId="413DAF1A" w14:textId="69F03070" w:rsidR="00567B7F" w:rsidRPr="00325B0D" w:rsidRDefault="00567B7F" w:rsidP="00567B7F">
            <w:pPr>
              <w:pStyle w:val="TableText0"/>
              <w:rPr>
                <w:rFonts w:cstheme="minorHAnsi"/>
                <w:sz w:val="20"/>
                <w:szCs w:val="20"/>
              </w:rPr>
            </w:pPr>
            <w:r w:rsidRPr="00325B0D">
              <w:rPr>
                <w:rFonts w:cs="Arial"/>
                <w:sz w:val="20"/>
                <w:szCs w:val="20"/>
              </w:rPr>
              <w:t>0.16</w:t>
            </w:r>
          </w:p>
        </w:tc>
      </w:tr>
      <w:tr w:rsidR="00567B7F" w14:paraId="57C3F8B9" w14:textId="767360AB" w:rsidTr="00B11D37">
        <w:tc>
          <w:tcPr>
            <w:tcW w:w="0" w:type="auto"/>
            <w:vMerge/>
          </w:tcPr>
          <w:p w14:paraId="1E08F999" w14:textId="77777777" w:rsidR="00567B7F" w:rsidRPr="00DA71B8" w:rsidRDefault="00567B7F" w:rsidP="00567B7F">
            <w:pPr>
              <w:pStyle w:val="TableText0"/>
            </w:pPr>
          </w:p>
        </w:tc>
        <w:tc>
          <w:tcPr>
            <w:tcW w:w="0" w:type="auto"/>
            <w:tcMar>
              <w:left w:w="108" w:type="dxa"/>
              <w:right w:w="108" w:type="dxa"/>
            </w:tcMar>
          </w:tcPr>
          <w:p w14:paraId="595C1BE7" w14:textId="342A0C73" w:rsidR="00567B7F" w:rsidRPr="00597579" w:rsidRDefault="00567B7F" w:rsidP="00567B7F">
            <w:pPr>
              <w:pStyle w:val="TableText0"/>
              <w:rPr>
                <w:vertAlign w:val="superscript"/>
              </w:rPr>
            </w:pPr>
            <w:r w:rsidRPr="00325B0D">
              <w:rPr>
                <w:rFonts w:cs="Arial"/>
                <w:sz w:val="20"/>
                <w:szCs w:val="20"/>
              </w:rPr>
              <w:t xml:space="preserve">Chicory </w:t>
            </w:r>
            <w:proofErr w:type="spellStart"/>
            <w:r w:rsidRPr="00325B0D">
              <w:rPr>
                <w:rFonts w:cs="Arial"/>
                <w:sz w:val="20"/>
                <w:szCs w:val="20"/>
              </w:rPr>
              <w:t>shoot</w:t>
            </w:r>
            <w:r w:rsidR="00597579">
              <w:rPr>
                <w:rFonts w:cs="Arial"/>
                <w:sz w:val="20"/>
                <w:szCs w:val="20"/>
                <w:vertAlign w:val="superscript"/>
              </w:rPr>
              <w:t>b</w:t>
            </w:r>
            <w:proofErr w:type="spellEnd"/>
          </w:p>
        </w:tc>
        <w:tc>
          <w:tcPr>
            <w:tcW w:w="0" w:type="auto"/>
            <w:tcMar>
              <w:left w:w="108" w:type="dxa"/>
              <w:right w:w="108" w:type="dxa"/>
            </w:tcMar>
          </w:tcPr>
          <w:p w14:paraId="3DA74509" w14:textId="4D40B58C" w:rsidR="00567B7F" w:rsidRDefault="00567B7F" w:rsidP="00567B7F">
            <w:pPr>
              <w:pStyle w:val="TableText0"/>
            </w:pPr>
            <w:r w:rsidRPr="00325B0D">
              <w:rPr>
                <w:rFonts w:cs="Arial"/>
                <w:sz w:val="20"/>
                <w:szCs w:val="20"/>
              </w:rPr>
              <w:t>1.1 – 1.5</w:t>
            </w:r>
          </w:p>
        </w:tc>
        <w:tc>
          <w:tcPr>
            <w:tcW w:w="0" w:type="auto"/>
            <w:tcMar>
              <w:left w:w="108" w:type="dxa"/>
              <w:right w:w="108" w:type="dxa"/>
            </w:tcMar>
          </w:tcPr>
          <w:p w14:paraId="5510351F" w14:textId="72DD56C4" w:rsidR="00567B7F" w:rsidRDefault="00567B7F" w:rsidP="00567B7F">
            <w:pPr>
              <w:pStyle w:val="TableText0"/>
            </w:pPr>
            <w:r w:rsidRPr="00325B0D">
              <w:rPr>
                <w:rFonts w:cs="Arial"/>
                <w:sz w:val="20"/>
                <w:szCs w:val="20"/>
              </w:rPr>
              <w:t>DW</w:t>
            </w:r>
          </w:p>
        </w:tc>
        <w:tc>
          <w:tcPr>
            <w:tcW w:w="0" w:type="auto"/>
            <w:tcMar>
              <w:left w:w="108" w:type="dxa"/>
              <w:right w:w="108" w:type="dxa"/>
            </w:tcMar>
          </w:tcPr>
          <w:p w14:paraId="69D2D1B5" w14:textId="06D8A569" w:rsidR="00567B7F" w:rsidRDefault="00567B7F" w:rsidP="00567B7F">
            <w:pPr>
              <w:pStyle w:val="TableText0"/>
            </w:pPr>
            <w:proofErr w:type="spellStart"/>
            <w:r w:rsidRPr="00325B0D">
              <w:rPr>
                <w:rFonts w:cs="Arial"/>
                <w:sz w:val="20"/>
                <w:szCs w:val="20"/>
              </w:rPr>
              <w:t>Gredelj</w:t>
            </w:r>
            <w:proofErr w:type="spellEnd"/>
            <w:r w:rsidRPr="00325B0D">
              <w:rPr>
                <w:rFonts w:cs="Arial"/>
                <w:sz w:val="20"/>
                <w:szCs w:val="20"/>
              </w:rPr>
              <w:t xml:space="preserve"> et al. 2020</w:t>
            </w:r>
          </w:p>
        </w:tc>
        <w:tc>
          <w:tcPr>
            <w:tcW w:w="0" w:type="auto"/>
          </w:tcPr>
          <w:p w14:paraId="0F20BBD5" w14:textId="404E5E00" w:rsidR="00567B7F" w:rsidRPr="00325B0D" w:rsidRDefault="00567B7F" w:rsidP="00567B7F">
            <w:pPr>
              <w:pStyle w:val="TableText0"/>
              <w:rPr>
                <w:rFonts w:cstheme="minorHAnsi"/>
                <w:sz w:val="20"/>
                <w:szCs w:val="20"/>
              </w:rPr>
            </w:pPr>
            <w:r w:rsidRPr="00325B0D">
              <w:rPr>
                <w:rFonts w:cs="Arial"/>
                <w:sz w:val="20"/>
                <w:szCs w:val="20"/>
              </w:rPr>
              <w:t>92</w:t>
            </w:r>
          </w:p>
        </w:tc>
        <w:tc>
          <w:tcPr>
            <w:tcW w:w="0" w:type="auto"/>
          </w:tcPr>
          <w:p w14:paraId="4350735C" w14:textId="1978E9F6" w:rsidR="00567B7F" w:rsidRPr="00325B0D" w:rsidRDefault="00567B7F" w:rsidP="00567B7F">
            <w:pPr>
              <w:pStyle w:val="TableText0"/>
              <w:rPr>
                <w:rFonts w:cstheme="minorHAnsi"/>
                <w:sz w:val="20"/>
                <w:szCs w:val="20"/>
              </w:rPr>
            </w:pPr>
            <w:r w:rsidRPr="00325B0D">
              <w:rPr>
                <w:rFonts w:cs="Arial"/>
                <w:sz w:val="20"/>
                <w:szCs w:val="20"/>
              </w:rPr>
              <w:t>0.12</w:t>
            </w:r>
          </w:p>
        </w:tc>
      </w:tr>
      <w:tr w:rsidR="00A102E8" w14:paraId="2BBAC2FE" w14:textId="0AF98A61" w:rsidTr="00B11D37">
        <w:tc>
          <w:tcPr>
            <w:tcW w:w="0" w:type="auto"/>
            <w:vMerge w:val="restart"/>
          </w:tcPr>
          <w:p w14:paraId="7892A47F" w14:textId="146DFD4C" w:rsidR="00A102E8" w:rsidRPr="00DA71B8" w:rsidRDefault="00A102E8" w:rsidP="00567B7F">
            <w:pPr>
              <w:pStyle w:val="TableText0"/>
            </w:pPr>
            <w:r>
              <w:lastRenderedPageBreak/>
              <w:t>Root vegetable</w:t>
            </w:r>
          </w:p>
        </w:tc>
        <w:tc>
          <w:tcPr>
            <w:tcW w:w="0" w:type="auto"/>
            <w:shd w:val="clear" w:color="auto" w:fill="FFFFFF" w:themeFill="background1"/>
            <w:tcMar>
              <w:left w:w="108" w:type="dxa"/>
              <w:right w:w="108" w:type="dxa"/>
            </w:tcMar>
          </w:tcPr>
          <w:p w14:paraId="2CBD98F8" w14:textId="314BE448" w:rsidR="00A102E8" w:rsidRPr="004636DE" w:rsidRDefault="00A102E8" w:rsidP="00567B7F">
            <w:pPr>
              <w:pStyle w:val="TableText0"/>
              <w:rPr>
                <w:b/>
                <w:bCs/>
              </w:rPr>
            </w:pPr>
          </w:p>
        </w:tc>
        <w:tc>
          <w:tcPr>
            <w:tcW w:w="0" w:type="auto"/>
            <w:shd w:val="clear" w:color="auto" w:fill="FFFFFF" w:themeFill="background1"/>
            <w:tcMar>
              <w:left w:w="108" w:type="dxa"/>
              <w:right w:w="108" w:type="dxa"/>
            </w:tcMar>
          </w:tcPr>
          <w:p w14:paraId="00A22D40" w14:textId="47817B24" w:rsidR="00A102E8" w:rsidRPr="004636DE" w:rsidRDefault="00A102E8" w:rsidP="00567B7F">
            <w:pPr>
              <w:pStyle w:val="TableText0"/>
              <w:rPr>
                <w:b/>
                <w:bCs/>
              </w:rPr>
            </w:pPr>
          </w:p>
        </w:tc>
        <w:tc>
          <w:tcPr>
            <w:tcW w:w="0" w:type="auto"/>
            <w:shd w:val="clear" w:color="auto" w:fill="FFFFFF" w:themeFill="background1"/>
            <w:tcMar>
              <w:left w:w="108" w:type="dxa"/>
              <w:right w:w="108" w:type="dxa"/>
            </w:tcMar>
          </w:tcPr>
          <w:p w14:paraId="68AEAAD7" w14:textId="4D5DFDE0" w:rsidR="00A102E8" w:rsidRPr="004636DE" w:rsidRDefault="00A102E8" w:rsidP="00567B7F">
            <w:pPr>
              <w:pStyle w:val="TableText0"/>
              <w:rPr>
                <w:b/>
                <w:bCs/>
              </w:rPr>
            </w:pPr>
          </w:p>
        </w:tc>
        <w:tc>
          <w:tcPr>
            <w:tcW w:w="0" w:type="auto"/>
            <w:shd w:val="clear" w:color="auto" w:fill="FFFFFF" w:themeFill="background1"/>
            <w:tcMar>
              <w:left w:w="108" w:type="dxa"/>
              <w:right w:w="108" w:type="dxa"/>
            </w:tcMar>
          </w:tcPr>
          <w:p w14:paraId="0FDCFBF6" w14:textId="29E16680" w:rsidR="00A102E8" w:rsidRPr="004636DE" w:rsidRDefault="00A102E8" w:rsidP="00567B7F">
            <w:pPr>
              <w:pStyle w:val="TableText0"/>
              <w:rPr>
                <w:b/>
                <w:bCs/>
              </w:rPr>
            </w:pPr>
          </w:p>
        </w:tc>
        <w:tc>
          <w:tcPr>
            <w:tcW w:w="0" w:type="auto"/>
            <w:shd w:val="clear" w:color="auto" w:fill="FFFFFF" w:themeFill="background1"/>
          </w:tcPr>
          <w:p w14:paraId="6E94FDE1" w14:textId="4725F419" w:rsidR="00A102E8" w:rsidRPr="004636DE" w:rsidRDefault="00A102E8" w:rsidP="00567B7F">
            <w:pPr>
              <w:pStyle w:val="TableText0"/>
              <w:rPr>
                <w:rFonts w:cstheme="minorHAnsi"/>
                <w:b/>
                <w:bCs/>
                <w:sz w:val="20"/>
                <w:szCs w:val="20"/>
              </w:rPr>
            </w:pPr>
          </w:p>
        </w:tc>
        <w:tc>
          <w:tcPr>
            <w:tcW w:w="0" w:type="auto"/>
            <w:shd w:val="clear" w:color="auto" w:fill="FFFFFF" w:themeFill="background1"/>
          </w:tcPr>
          <w:p w14:paraId="223E7233" w14:textId="16123462" w:rsidR="00A102E8" w:rsidRPr="004636DE" w:rsidRDefault="00A102E8" w:rsidP="00567B7F">
            <w:pPr>
              <w:pStyle w:val="TableText0"/>
              <w:rPr>
                <w:rFonts w:cstheme="minorHAnsi"/>
                <w:b/>
                <w:bCs/>
                <w:sz w:val="20"/>
                <w:szCs w:val="20"/>
              </w:rPr>
            </w:pPr>
          </w:p>
        </w:tc>
      </w:tr>
      <w:tr w:rsidR="00A102E8" w14:paraId="22DD0416" w14:textId="77777777" w:rsidTr="00B11D37">
        <w:tc>
          <w:tcPr>
            <w:tcW w:w="0" w:type="auto"/>
            <w:vMerge/>
          </w:tcPr>
          <w:p w14:paraId="5FCE184C" w14:textId="77777777" w:rsidR="00A102E8" w:rsidRPr="00DA71B8" w:rsidRDefault="00A102E8" w:rsidP="00744D74">
            <w:pPr>
              <w:pStyle w:val="TableText0"/>
            </w:pPr>
          </w:p>
        </w:tc>
        <w:tc>
          <w:tcPr>
            <w:tcW w:w="0" w:type="auto"/>
            <w:shd w:val="clear" w:color="auto" w:fill="auto"/>
            <w:tcMar>
              <w:left w:w="108" w:type="dxa"/>
              <w:right w:w="108" w:type="dxa"/>
            </w:tcMar>
          </w:tcPr>
          <w:p w14:paraId="008711ED" w14:textId="063446A1" w:rsidR="00A102E8" w:rsidRPr="004302E6" w:rsidRDefault="00A102E8" w:rsidP="00744D74">
            <w:pPr>
              <w:pStyle w:val="TableText0"/>
              <w:rPr>
                <w:rFonts w:cs="Arial"/>
                <w:sz w:val="20"/>
                <w:szCs w:val="20"/>
                <w:vertAlign w:val="superscript"/>
              </w:rPr>
            </w:pPr>
            <w:proofErr w:type="spellStart"/>
            <w:r w:rsidRPr="00F679E6">
              <w:rPr>
                <w:rFonts w:cs="Arial"/>
                <w:b/>
                <w:bCs/>
                <w:sz w:val="20"/>
                <w:szCs w:val="20"/>
              </w:rPr>
              <w:t>Radish</w:t>
            </w:r>
            <w:r w:rsidR="004302E6">
              <w:rPr>
                <w:rFonts w:cs="Arial"/>
                <w:b/>
                <w:bCs/>
                <w:sz w:val="20"/>
                <w:szCs w:val="20"/>
                <w:vertAlign w:val="superscript"/>
              </w:rPr>
              <w:t>b</w:t>
            </w:r>
            <w:proofErr w:type="spellEnd"/>
          </w:p>
        </w:tc>
        <w:tc>
          <w:tcPr>
            <w:tcW w:w="0" w:type="auto"/>
            <w:shd w:val="clear" w:color="auto" w:fill="auto"/>
            <w:tcMar>
              <w:left w:w="108" w:type="dxa"/>
              <w:right w:w="108" w:type="dxa"/>
            </w:tcMar>
          </w:tcPr>
          <w:p w14:paraId="58C75D4E" w14:textId="689A84C8" w:rsidR="00A102E8" w:rsidRPr="00325B0D" w:rsidRDefault="00A102E8" w:rsidP="00744D74">
            <w:pPr>
              <w:pStyle w:val="TableText0"/>
              <w:rPr>
                <w:rFonts w:cs="Arial"/>
                <w:sz w:val="20"/>
                <w:szCs w:val="20"/>
              </w:rPr>
            </w:pPr>
            <w:r w:rsidRPr="00F679E6">
              <w:rPr>
                <w:rFonts w:cs="Arial"/>
                <w:b/>
                <w:bCs/>
                <w:sz w:val="20"/>
                <w:szCs w:val="20"/>
              </w:rPr>
              <w:t>2.9</w:t>
            </w:r>
          </w:p>
        </w:tc>
        <w:tc>
          <w:tcPr>
            <w:tcW w:w="0" w:type="auto"/>
            <w:shd w:val="clear" w:color="auto" w:fill="auto"/>
            <w:tcMar>
              <w:left w:w="108" w:type="dxa"/>
              <w:right w:w="108" w:type="dxa"/>
            </w:tcMar>
          </w:tcPr>
          <w:p w14:paraId="7353599E" w14:textId="0AE4EAFD" w:rsidR="00A102E8" w:rsidRPr="00325B0D" w:rsidRDefault="00A102E8" w:rsidP="00744D74">
            <w:pPr>
              <w:pStyle w:val="TableText0"/>
              <w:rPr>
                <w:rFonts w:cs="Arial"/>
                <w:sz w:val="20"/>
                <w:szCs w:val="20"/>
              </w:rPr>
            </w:pPr>
            <w:r w:rsidRPr="00F679E6">
              <w:rPr>
                <w:rFonts w:cs="Arial"/>
                <w:b/>
                <w:bCs/>
                <w:sz w:val="20"/>
                <w:szCs w:val="20"/>
              </w:rPr>
              <w:t>DW</w:t>
            </w:r>
          </w:p>
        </w:tc>
        <w:tc>
          <w:tcPr>
            <w:tcW w:w="0" w:type="auto"/>
            <w:shd w:val="clear" w:color="auto" w:fill="auto"/>
            <w:tcMar>
              <w:left w:w="108" w:type="dxa"/>
              <w:right w:w="108" w:type="dxa"/>
            </w:tcMar>
          </w:tcPr>
          <w:p w14:paraId="5FA1F75C" w14:textId="0B17A8D5" w:rsidR="00A102E8" w:rsidRPr="00325B0D" w:rsidRDefault="00A102E8" w:rsidP="00744D74">
            <w:pPr>
              <w:pStyle w:val="TableText0"/>
              <w:rPr>
                <w:rFonts w:cs="Arial"/>
                <w:sz w:val="20"/>
                <w:szCs w:val="20"/>
              </w:rPr>
            </w:pPr>
            <w:proofErr w:type="spellStart"/>
            <w:r w:rsidRPr="00F679E6">
              <w:rPr>
                <w:rFonts w:cs="Arial"/>
                <w:b/>
                <w:bCs/>
                <w:sz w:val="20"/>
                <w:szCs w:val="20"/>
              </w:rPr>
              <w:t>Lasee</w:t>
            </w:r>
            <w:proofErr w:type="spellEnd"/>
            <w:r w:rsidRPr="00F679E6">
              <w:rPr>
                <w:rFonts w:cs="Arial"/>
                <w:b/>
                <w:bCs/>
                <w:sz w:val="20"/>
                <w:szCs w:val="20"/>
              </w:rPr>
              <w:t xml:space="preserve"> et al, 2019</w:t>
            </w:r>
          </w:p>
        </w:tc>
        <w:tc>
          <w:tcPr>
            <w:tcW w:w="0" w:type="auto"/>
            <w:shd w:val="clear" w:color="auto" w:fill="auto"/>
          </w:tcPr>
          <w:p w14:paraId="639B7317" w14:textId="25B49A58" w:rsidR="00A102E8" w:rsidRPr="00325B0D" w:rsidRDefault="00A102E8" w:rsidP="00744D74">
            <w:pPr>
              <w:pStyle w:val="TableText0"/>
              <w:rPr>
                <w:rFonts w:cs="Arial"/>
                <w:sz w:val="20"/>
                <w:szCs w:val="20"/>
              </w:rPr>
            </w:pPr>
            <w:r w:rsidRPr="00F679E6">
              <w:rPr>
                <w:rFonts w:cs="Arial"/>
                <w:b/>
                <w:bCs/>
                <w:sz w:val="20"/>
                <w:szCs w:val="20"/>
              </w:rPr>
              <w:t>95</w:t>
            </w:r>
          </w:p>
        </w:tc>
        <w:tc>
          <w:tcPr>
            <w:tcW w:w="0" w:type="auto"/>
            <w:shd w:val="clear" w:color="auto" w:fill="auto"/>
          </w:tcPr>
          <w:p w14:paraId="5D9B1E0F" w14:textId="24512A16" w:rsidR="00A102E8" w:rsidRPr="00325B0D" w:rsidRDefault="00A102E8" w:rsidP="00744D74">
            <w:pPr>
              <w:pStyle w:val="TableText0"/>
              <w:rPr>
                <w:rFonts w:cs="Arial"/>
                <w:sz w:val="20"/>
                <w:szCs w:val="20"/>
              </w:rPr>
            </w:pPr>
            <w:r w:rsidRPr="00F679E6">
              <w:rPr>
                <w:rFonts w:cs="Arial"/>
                <w:b/>
                <w:bCs/>
                <w:sz w:val="20"/>
                <w:szCs w:val="20"/>
              </w:rPr>
              <w:t>0.15</w:t>
            </w:r>
          </w:p>
        </w:tc>
      </w:tr>
      <w:tr w:rsidR="00A102E8" w14:paraId="061B9E9D" w14:textId="50AFC287" w:rsidTr="00B11D37">
        <w:tc>
          <w:tcPr>
            <w:tcW w:w="0" w:type="auto"/>
            <w:vMerge/>
          </w:tcPr>
          <w:p w14:paraId="36D74DB6" w14:textId="77777777" w:rsidR="00A102E8" w:rsidRPr="00DA71B8" w:rsidRDefault="00A102E8" w:rsidP="00567B7F">
            <w:pPr>
              <w:pStyle w:val="TableText0"/>
            </w:pPr>
          </w:p>
        </w:tc>
        <w:tc>
          <w:tcPr>
            <w:tcW w:w="0" w:type="auto"/>
            <w:shd w:val="clear" w:color="auto" w:fill="auto"/>
            <w:tcMar>
              <w:left w:w="108" w:type="dxa"/>
              <w:right w:w="108" w:type="dxa"/>
            </w:tcMar>
          </w:tcPr>
          <w:p w14:paraId="7CCD04DF" w14:textId="23EA862F" w:rsidR="00A102E8" w:rsidRDefault="00A102E8" w:rsidP="00567B7F">
            <w:pPr>
              <w:pStyle w:val="TableText0"/>
            </w:pPr>
            <w:r w:rsidRPr="00325B0D">
              <w:rPr>
                <w:rFonts w:cs="Arial"/>
                <w:sz w:val="20"/>
                <w:szCs w:val="20"/>
              </w:rPr>
              <w:t>Radish</w:t>
            </w:r>
          </w:p>
        </w:tc>
        <w:tc>
          <w:tcPr>
            <w:tcW w:w="0" w:type="auto"/>
            <w:shd w:val="clear" w:color="auto" w:fill="auto"/>
            <w:tcMar>
              <w:left w:w="108" w:type="dxa"/>
              <w:right w:w="108" w:type="dxa"/>
            </w:tcMar>
          </w:tcPr>
          <w:p w14:paraId="6040E355" w14:textId="351126AD" w:rsidR="00A102E8" w:rsidRDefault="00A102E8" w:rsidP="00567B7F">
            <w:pPr>
              <w:pStyle w:val="TableText0"/>
            </w:pPr>
            <w:r w:rsidRPr="00325B0D">
              <w:rPr>
                <w:rFonts w:cs="Arial"/>
                <w:sz w:val="20"/>
                <w:szCs w:val="20"/>
              </w:rPr>
              <w:t>2.6</w:t>
            </w:r>
          </w:p>
        </w:tc>
        <w:tc>
          <w:tcPr>
            <w:tcW w:w="0" w:type="auto"/>
            <w:shd w:val="clear" w:color="auto" w:fill="auto"/>
            <w:tcMar>
              <w:left w:w="108" w:type="dxa"/>
              <w:right w:w="108" w:type="dxa"/>
            </w:tcMar>
          </w:tcPr>
          <w:p w14:paraId="345E2BB1" w14:textId="64BED148" w:rsidR="00A102E8" w:rsidRDefault="00A102E8" w:rsidP="00567B7F">
            <w:pPr>
              <w:pStyle w:val="TableText0"/>
            </w:pPr>
            <w:r w:rsidRPr="00325B0D">
              <w:rPr>
                <w:rFonts w:cs="Arial"/>
                <w:sz w:val="20"/>
                <w:szCs w:val="20"/>
              </w:rPr>
              <w:t>DW</w:t>
            </w:r>
          </w:p>
        </w:tc>
        <w:tc>
          <w:tcPr>
            <w:tcW w:w="0" w:type="auto"/>
            <w:shd w:val="clear" w:color="auto" w:fill="auto"/>
            <w:tcMar>
              <w:left w:w="108" w:type="dxa"/>
              <w:right w:w="108" w:type="dxa"/>
            </w:tcMar>
          </w:tcPr>
          <w:p w14:paraId="1BBEE9CA" w14:textId="63B797A5" w:rsidR="00A102E8" w:rsidRDefault="00A102E8" w:rsidP="00567B7F">
            <w:pPr>
              <w:pStyle w:val="TableText0"/>
            </w:pPr>
            <w:r w:rsidRPr="00325B0D">
              <w:rPr>
                <w:rFonts w:cs="Arial"/>
                <w:sz w:val="20"/>
                <w:szCs w:val="20"/>
              </w:rPr>
              <w:t>Wen et al. 2016</w:t>
            </w:r>
          </w:p>
        </w:tc>
        <w:tc>
          <w:tcPr>
            <w:tcW w:w="0" w:type="auto"/>
            <w:shd w:val="clear" w:color="auto" w:fill="auto"/>
          </w:tcPr>
          <w:p w14:paraId="7FD4C6C2" w14:textId="1541796C" w:rsidR="00A102E8" w:rsidRPr="00325B0D" w:rsidRDefault="00A102E8" w:rsidP="00567B7F">
            <w:pPr>
              <w:pStyle w:val="TableText0"/>
              <w:rPr>
                <w:rFonts w:cstheme="minorHAnsi"/>
                <w:sz w:val="20"/>
                <w:szCs w:val="20"/>
              </w:rPr>
            </w:pPr>
            <w:r w:rsidRPr="00325B0D">
              <w:rPr>
                <w:rFonts w:cs="Arial"/>
                <w:sz w:val="20"/>
                <w:szCs w:val="20"/>
              </w:rPr>
              <w:t>95</w:t>
            </w:r>
          </w:p>
        </w:tc>
        <w:tc>
          <w:tcPr>
            <w:tcW w:w="0" w:type="auto"/>
            <w:shd w:val="clear" w:color="auto" w:fill="auto"/>
          </w:tcPr>
          <w:p w14:paraId="01C69122" w14:textId="0BDBEDF8" w:rsidR="00A102E8" w:rsidRPr="00325B0D" w:rsidRDefault="00A102E8" w:rsidP="00567B7F">
            <w:pPr>
              <w:pStyle w:val="TableText0"/>
              <w:rPr>
                <w:rFonts w:cstheme="minorHAnsi"/>
                <w:sz w:val="20"/>
                <w:szCs w:val="20"/>
              </w:rPr>
            </w:pPr>
            <w:r w:rsidRPr="00325B0D">
              <w:rPr>
                <w:rFonts w:cs="Arial"/>
                <w:sz w:val="20"/>
                <w:szCs w:val="20"/>
              </w:rPr>
              <w:t>0.13</w:t>
            </w:r>
          </w:p>
        </w:tc>
      </w:tr>
      <w:tr w:rsidR="00A102E8" w14:paraId="5A30047A" w14:textId="39BA81E5" w:rsidTr="00B11D37">
        <w:tc>
          <w:tcPr>
            <w:tcW w:w="0" w:type="auto"/>
            <w:vMerge/>
          </w:tcPr>
          <w:p w14:paraId="6CA0914C" w14:textId="77777777" w:rsidR="00A102E8" w:rsidRPr="00DA71B8" w:rsidRDefault="00A102E8" w:rsidP="00567B7F">
            <w:pPr>
              <w:pStyle w:val="TableText0"/>
            </w:pPr>
          </w:p>
        </w:tc>
        <w:tc>
          <w:tcPr>
            <w:tcW w:w="0" w:type="auto"/>
            <w:tcMar>
              <w:left w:w="108" w:type="dxa"/>
              <w:right w:w="108" w:type="dxa"/>
            </w:tcMar>
          </w:tcPr>
          <w:p w14:paraId="66F30D83" w14:textId="622D224C" w:rsidR="00A102E8" w:rsidRDefault="00A102E8" w:rsidP="00567B7F">
            <w:pPr>
              <w:pStyle w:val="TableText0"/>
            </w:pPr>
            <w:r w:rsidRPr="00325B0D">
              <w:rPr>
                <w:rFonts w:cs="Arial"/>
                <w:sz w:val="20"/>
                <w:szCs w:val="20"/>
              </w:rPr>
              <w:t>Radish</w:t>
            </w:r>
          </w:p>
        </w:tc>
        <w:tc>
          <w:tcPr>
            <w:tcW w:w="0" w:type="auto"/>
            <w:tcMar>
              <w:left w:w="108" w:type="dxa"/>
              <w:right w:w="108" w:type="dxa"/>
            </w:tcMar>
          </w:tcPr>
          <w:p w14:paraId="155A5301" w14:textId="54F380E0" w:rsidR="00A102E8" w:rsidRDefault="00A102E8" w:rsidP="00567B7F">
            <w:pPr>
              <w:pStyle w:val="TableText0"/>
            </w:pPr>
            <w:r w:rsidRPr="00325B0D">
              <w:rPr>
                <w:rFonts w:cs="Arial"/>
                <w:sz w:val="20"/>
                <w:szCs w:val="20"/>
              </w:rPr>
              <w:t>0.07 - 0.7</w:t>
            </w:r>
          </w:p>
        </w:tc>
        <w:tc>
          <w:tcPr>
            <w:tcW w:w="0" w:type="auto"/>
            <w:tcMar>
              <w:left w:w="108" w:type="dxa"/>
              <w:right w:w="108" w:type="dxa"/>
            </w:tcMar>
          </w:tcPr>
          <w:p w14:paraId="452EFCDE" w14:textId="582FE6E4" w:rsidR="00A102E8" w:rsidRDefault="00A102E8" w:rsidP="00567B7F">
            <w:pPr>
              <w:pStyle w:val="TableText0"/>
            </w:pPr>
            <w:r w:rsidRPr="00325B0D">
              <w:rPr>
                <w:rFonts w:cs="Arial"/>
                <w:sz w:val="20"/>
                <w:szCs w:val="20"/>
              </w:rPr>
              <w:t>DW</w:t>
            </w:r>
          </w:p>
        </w:tc>
        <w:tc>
          <w:tcPr>
            <w:tcW w:w="0" w:type="auto"/>
            <w:tcMar>
              <w:left w:w="108" w:type="dxa"/>
              <w:right w:w="108" w:type="dxa"/>
            </w:tcMar>
          </w:tcPr>
          <w:p w14:paraId="36A7B0A2" w14:textId="2D5B97D8" w:rsidR="00A102E8" w:rsidRDefault="00A102E8" w:rsidP="00567B7F">
            <w:pPr>
              <w:pStyle w:val="TableText0"/>
            </w:pPr>
            <w:r w:rsidRPr="00325B0D">
              <w:rPr>
                <w:rFonts w:cs="Arial"/>
                <w:sz w:val="20"/>
                <w:szCs w:val="20"/>
              </w:rPr>
              <w:t>Blaine et al. 2014</w:t>
            </w:r>
          </w:p>
        </w:tc>
        <w:tc>
          <w:tcPr>
            <w:tcW w:w="0" w:type="auto"/>
          </w:tcPr>
          <w:p w14:paraId="66CEBF94" w14:textId="2DDCF1BE" w:rsidR="00A102E8" w:rsidRPr="00325B0D" w:rsidRDefault="00A102E8" w:rsidP="00567B7F">
            <w:pPr>
              <w:pStyle w:val="TableText0"/>
              <w:rPr>
                <w:rFonts w:cstheme="minorHAnsi"/>
                <w:sz w:val="20"/>
                <w:szCs w:val="20"/>
              </w:rPr>
            </w:pPr>
            <w:r w:rsidRPr="00325B0D">
              <w:rPr>
                <w:rFonts w:cs="Arial"/>
                <w:sz w:val="20"/>
                <w:szCs w:val="20"/>
              </w:rPr>
              <w:t>90*</w:t>
            </w:r>
          </w:p>
        </w:tc>
        <w:tc>
          <w:tcPr>
            <w:tcW w:w="0" w:type="auto"/>
          </w:tcPr>
          <w:p w14:paraId="4315FF0B" w14:textId="1032C950" w:rsidR="00A102E8" w:rsidRPr="00325B0D" w:rsidRDefault="00A102E8" w:rsidP="00567B7F">
            <w:pPr>
              <w:pStyle w:val="TableText0"/>
              <w:rPr>
                <w:rFonts w:cstheme="minorHAnsi"/>
                <w:sz w:val="20"/>
                <w:szCs w:val="20"/>
              </w:rPr>
            </w:pPr>
            <w:r w:rsidRPr="00325B0D">
              <w:rPr>
                <w:rFonts w:cs="Arial"/>
                <w:sz w:val="20"/>
                <w:szCs w:val="20"/>
              </w:rPr>
              <w:t>0.07</w:t>
            </w:r>
          </w:p>
        </w:tc>
      </w:tr>
      <w:tr w:rsidR="00A102E8" w14:paraId="686BC0C2" w14:textId="3DE6131A" w:rsidTr="00B11D37">
        <w:tc>
          <w:tcPr>
            <w:tcW w:w="0" w:type="auto"/>
            <w:vMerge/>
          </w:tcPr>
          <w:p w14:paraId="7F289D0D" w14:textId="77777777" w:rsidR="00A102E8" w:rsidRPr="00DA71B8" w:rsidRDefault="00A102E8" w:rsidP="00567B7F">
            <w:pPr>
              <w:pStyle w:val="TableText0"/>
            </w:pPr>
          </w:p>
        </w:tc>
        <w:tc>
          <w:tcPr>
            <w:tcW w:w="0" w:type="auto"/>
            <w:shd w:val="clear" w:color="auto" w:fill="auto"/>
            <w:tcMar>
              <w:left w:w="108" w:type="dxa"/>
              <w:right w:w="108" w:type="dxa"/>
            </w:tcMar>
          </w:tcPr>
          <w:p w14:paraId="541DE8AB" w14:textId="4B24F94E" w:rsidR="00A102E8" w:rsidRDefault="00A102E8" w:rsidP="00567B7F">
            <w:pPr>
              <w:pStyle w:val="TableText0"/>
            </w:pPr>
            <w:r w:rsidRPr="00325B0D">
              <w:rPr>
                <w:rFonts w:cs="Arial"/>
                <w:sz w:val="20"/>
                <w:szCs w:val="20"/>
              </w:rPr>
              <w:t>Carrot</w:t>
            </w:r>
          </w:p>
        </w:tc>
        <w:tc>
          <w:tcPr>
            <w:tcW w:w="0" w:type="auto"/>
            <w:shd w:val="clear" w:color="auto" w:fill="auto"/>
            <w:tcMar>
              <w:left w:w="108" w:type="dxa"/>
              <w:right w:w="108" w:type="dxa"/>
            </w:tcMar>
          </w:tcPr>
          <w:p w14:paraId="1A73C629" w14:textId="28F1C30F" w:rsidR="00A102E8" w:rsidRDefault="00A102E8" w:rsidP="00567B7F">
            <w:pPr>
              <w:pStyle w:val="TableText0"/>
            </w:pPr>
            <w:r w:rsidRPr="00325B0D">
              <w:rPr>
                <w:rFonts w:cs="Arial"/>
                <w:sz w:val="20"/>
                <w:szCs w:val="20"/>
              </w:rPr>
              <w:t>1.0</w:t>
            </w:r>
          </w:p>
        </w:tc>
        <w:tc>
          <w:tcPr>
            <w:tcW w:w="0" w:type="auto"/>
            <w:shd w:val="clear" w:color="auto" w:fill="auto"/>
            <w:tcMar>
              <w:left w:w="108" w:type="dxa"/>
              <w:right w:w="108" w:type="dxa"/>
            </w:tcMar>
          </w:tcPr>
          <w:p w14:paraId="6685C4CB" w14:textId="49198656" w:rsidR="00A102E8" w:rsidRDefault="00A102E8" w:rsidP="00567B7F">
            <w:pPr>
              <w:pStyle w:val="TableText0"/>
            </w:pPr>
            <w:r w:rsidRPr="00325B0D">
              <w:rPr>
                <w:rFonts w:cs="Arial"/>
                <w:sz w:val="20"/>
                <w:szCs w:val="20"/>
              </w:rPr>
              <w:t>DW</w:t>
            </w:r>
          </w:p>
        </w:tc>
        <w:tc>
          <w:tcPr>
            <w:tcW w:w="0" w:type="auto"/>
            <w:shd w:val="clear" w:color="auto" w:fill="auto"/>
            <w:tcMar>
              <w:left w:w="108" w:type="dxa"/>
              <w:right w:w="108" w:type="dxa"/>
            </w:tcMar>
          </w:tcPr>
          <w:p w14:paraId="34DB9EE7" w14:textId="7C86D543" w:rsidR="00A102E8" w:rsidRDefault="00A102E8" w:rsidP="00567B7F">
            <w:pPr>
              <w:pStyle w:val="TableText0"/>
            </w:pPr>
            <w:proofErr w:type="spellStart"/>
            <w:r w:rsidRPr="00325B0D">
              <w:rPr>
                <w:rFonts w:cs="Arial"/>
                <w:sz w:val="20"/>
                <w:szCs w:val="20"/>
              </w:rPr>
              <w:t>Lasee</w:t>
            </w:r>
            <w:proofErr w:type="spellEnd"/>
            <w:r w:rsidRPr="00325B0D">
              <w:rPr>
                <w:rFonts w:cs="Arial"/>
                <w:sz w:val="20"/>
                <w:szCs w:val="20"/>
              </w:rPr>
              <w:t xml:space="preserve"> et al, 2019</w:t>
            </w:r>
          </w:p>
        </w:tc>
        <w:tc>
          <w:tcPr>
            <w:tcW w:w="0" w:type="auto"/>
            <w:shd w:val="clear" w:color="auto" w:fill="auto"/>
          </w:tcPr>
          <w:p w14:paraId="099A0751" w14:textId="5BB070A3" w:rsidR="00A102E8" w:rsidRPr="00325B0D" w:rsidRDefault="00A102E8" w:rsidP="00567B7F">
            <w:pPr>
              <w:pStyle w:val="TableText0"/>
              <w:rPr>
                <w:rFonts w:cstheme="minorHAnsi"/>
                <w:sz w:val="20"/>
                <w:szCs w:val="20"/>
              </w:rPr>
            </w:pPr>
            <w:r w:rsidRPr="00325B0D">
              <w:rPr>
                <w:rFonts w:cs="Arial"/>
                <w:sz w:val="20"/>
                <w:szCs w:val="20"/>
              </w:rPr>
              <w:t>88</w:t>
            </w:r>
          </w:p>
        </w:tc>
        <w:tc>
          <w:tcPr>
            <w:tcW w:w="0" w:type="auto"/>
            <w:shd w:val="clear" w:color="auto" w:fill="auto"/>
          </w:tcPr>
          <w:p w14:paraId="3E779893" w14:textId="1ADDFC74" w:rsidR="00A102E8" w:rsidRPr="00325B0D" w:rsidRDefault="00A102E8" w:rsidP="00567B7F">
            <w:pPr>
              <w:pStyle w:val="TableText0"/>
              <w:rPr>
                <w:rFonts w:cstheme="minorHAnsi"/>
                <w:sz w:val="20"/>
                <w:szCs w:val="20"/>
              </w:rPr>
            </w:pPr>
            <w:r w:rsidRPr="00325B0D">
              <w:rPr>
                <w:rFonts w:cs="Arial"/>
                <w:sz w:val="20"/>
                <w:szCs w:val="20"/>
              </w:rPr>
              <w:t>0.13</w:t>
            </w:r>
          </w:p>
        </w:tc>
      </w:tr>
      <w:tr w:rsidR="00A102E8" w14:paraId="5116F732" w14:textId="77777777" w:rsidTr="00B11D37">
        <w:tc>
          <w:tcPr>
            <w:tcW w:w="0" w:type="auto"/>
            <w:vMerge/>
          </w:tcPr>
          <w:p w14:paraId="3F360EC1" w14:textId="77777777" w:rsidR="00A102E8" w:rsidRPr="00DA71B8" w:rsidRDefault="00A102E8" w:rsidP="00567B7F">
            <w:pPr>
              <w:pStyle w:val="TableText0"/>
            </w:pPr>
          </w:p>
        </w:tc>
        <w:tc>
          <w:tcPr>
            <w:tcW w:w="0" w:type="auto"/>
            <w:tcMar>
              <w:left w:w="108" w:type="dxa"/>
              <w:right w:w="108" w:type="dxa"/>
            </w:tcMar>
          </w:tcPr>
          <w:p w14:paraId="17E0D6E6" w14:textId="512A9C72" w:rsidR="00A102E8" w:rsidRPr="00325B0D" w:rsidRDefault="00A102E8" w:rsidP="00567B7F">
            <w:pPr>
              <w:pStyle w:val="TableText0"/>
              <w:rPr>
                <w:rFonts w:cstheme="minorHAnsi"/>
                <w:sz w:val="20"/>
                <w:szCs w:val="20"/>
              </w:rPr>
            </w:pPr>
            <w:r w:rsidRPr="00325B0D">
              <w:rPr>
                <w:rFonts w:cs="Arial"/>
                <w:sz w:val="20"/>
                <w:szCs w:val="20"/>
              </w:rPr>
              <w:t>Peeled carrot</w:t>
            </w:r>
          </w:p>
        </w:tc>
        <w:tc>
          <w:tcPr>
            <w:tcW w:w="0" w:type="auto"/>
            <w:tcMar>
              <w:left w:w="108" w:type="dxa"/>
              <w:right w:w="108" w:type="dxa"/>
            </w:tcMar>
          </w:tcPr>
          <w:p w14:paraId="27A0EA02" w14:textId="6AC0A4FE" w:rsidR="00A102E8" w:rsidRPr="00325B0D" w:rsidRDefault="00A102E8" w:rsidP="00567B7F">
            <w:pPr>
              <w:pStyle w:val="TableText0"/>
              <w:rPr>
                <w:rFonts w:cstheme="minorHAnsi"/>
                <w:sz w:val="20"/>
                <w:szCs w:val="20"/>
              </w:rPr>
            </w:pPr>
            <w:r w:rsidRPr="00325B0D">
              <w:rPr>
                <w:rFonts w:cs="Arial"/>
                <w:sz w:val="20"/>
                <w:szCs w:val="20"/>
              </w:rPr>
              <w:t>0.4 – 0.6</w:t>
            </w:r>
          </w:p>
        </w:tc>
        <w:tc>
          <w:tcPr>
            <w:tcW w:w="0" w:type="auto"/>
            <w:tcMar>
              <w:left w:w="108" w:type="dxa"/>
              <w:right w:w="108" w:type="dxa"/>
            </w:tcMar>
          </w:tcPr>
          <w:p w14:paraId="633E07E5" w14:textId="7B868D78" w:rsidR="00A102E8" w:rsidRPr="00325B0D" w:rsidRDefault="00A102E8" w:rsidP="00567B7F">
            <w:pPr>
              <w:pStyle w:val="TableText0"/>
              <w:rPr>
                <w:rFonts w:cstheme="minorHAnsi"/>
                <w:sz w:val="20"/>
                <w:szCs w:val="20"/>
              </w:rPr>
            </w:pPr>
            <w:r w:rsidRPr="00325B0D">
              <w:rPr>
                <w:rFonts w:cs="Arial"/>
                <w:sz w:val="20"/>
                <w:szCs w:val="20"/>
              </w:rPr>
              <w:t>DW</w:t>
            </w:r>
          </w:p>
        </w:tc>
        <w:tc>
          <w:tcPr>
            <w:tcW w:w="0" w:type="auto"/>
            <w:tcMar>
              <w:left w:w="108" w:type="dxa"/>
              <w:right w:w="108" w:type="dxa"/>
            </w:tcMar>
          </w:tcPr>
          <w:p w14:paraId="5DC1CCBB" w14:textId="73EE35B1" w:rsidR="00A102E8" w:rsidRPr="00325B0D" w:rsidRDefault="00A102E8" w:rsidP="00567B7F">
            <w:pPr>
              <w:pStyle w:val="TableText0"/>
              <w:rPr>
                <w:rFonts w:cstheme="minorHAnsi"/>
                <w:sz w:val="20"/>
                <w:szCs w:val="20"/>
              </w:rPr>
            </w:pPr>
            <w:proofErr w:type="spellStart"/>
            <w:r w:rsidRPr="00325B0D">
              <w:rPr>
                <w:rFonts w:cs="Arial"/>
                <w:sz w:val="20"/>
                <w:szCs w:val="20"/>
              </w:rPr>
              <w:t>Bizkarguenaga</w:t>
            </w:r>
            <w:proofErr w:type="spellEnd"/>
            <w:r w:rsidRPr="00325B0D">
              <w:rPr>
                <w:rFonts w:cs="Arial"/>
                <w:sz w:val="20"/>
                <w:szCs w:val="20"/>
              </w:rPr>
              <w:t xml:space="preserve"> et al. 2016</w:t>
            </w:r>
          </w:p>
        </w:tc>
        <w:tc>
          <w:tcPr>
            <w:tcW w:w="0" w:type="auto"/>
          </w:tcPr>
          <w:p w14:paraId="6ED81B64" w14:textId="148EC64F" w:rsidR="00A102E8" w:rsidRPr="00325B0D" w:rsidRDefault="00A102E8" w:rsidP="00567B7F">
            <w:pPr>
              <w:pStyle w:val="TableText0"/>
              <w:rPr>
                <w:rFonts w:cstheme="minorHAnsi"/>
                <w:sz w:val="20"/>
                <w:szCs w:val="20"/>
              </w:rPr>
            </w:pPr>
            <w:r w:rsidRPr="00325B0D">
              <w:rPr>
                <w:rFonts w:cs="Arial"/>
                <w:sz w:val="20"/>
                <w:szCs w:val="20"/>
              </w:rPr>
              <w:t>88</w:t>
            </w:r>
          </w:p>
        </w:tc>
        <w:tc>
          <w:tcPr>
            <w:tcW w:w="0" w:type="auto"/>
          </w:tcPr>
          <w:p w14:paraId="739FB606" w14:textId="445A73AE" w:rsidR="00A102E8" w:rsidRPr="00325B0D" w:rsidRDefault="00A102E8" w:rsidP="00567B7F">
            <w:pPr>
              <w:pStyle w:val="TableText0"/>
              <w:rPr>
                <w:rFonts w:cstheme="minorHAnsi"/>
                <w:sz w:val="20"/>
                <w:szCs w:val="20"/>
              </w:rPr>
            </w:pPr>
            <w:r w:rsidRPr="00325B0D">
              <w:rPr>
                <w:rFonts w:cs="Arial"/>
                <w:sz w:val="20"/>
                <w:szCs w:val="20"/>
              </w:rPr>
              <w:t>0.07</w:t>
            </w:r>
          </w:p>
        </w:tc>
      </w:tr>
      <w:tr w:rsidR="00A102E8" w14:paraId="3DBEE3A9" w14:textId="77777777" w:rsidTr="00B11D37">
        <w:tc>
          <w:tcPr>
            <w:tcW w:w="0" w:type="auto"/>
            <w:vMerge/>
          </w:tcPr>
          <w:p w14:paraId="478DD644" w14:textId="77777777" w:rsidR="00A102E8" w:rsidRPr="00DA71B8" w:rsidRDefault="00A102E8" w:rsidP="00567B7F">
            <w:pPr>
              <w:pStyle w:val="TableText0"/>
            </w:pPr>
          </w:p>
        </w:tc>
        <w:tc>
          <w:tcPr>
            <w:tcW w:w="0" w:type="auto"/>
            <w:tcMar>
              <w:left w:w="108" w:type="dxa"/>
              <w:right w:w="108" w:type="dxa"/>
            </w:tcMar>
          </w:tcPr>
          <w:p w14:paraId="2761CB3E" w14:textId="5D14AFC7" w:rsidR="00A102E8" w:rsidRPr="00325B0D" w:rsidRDefault="00A102E8" w:rsidP="00567B7F">
            <w:pPr>
              <w:pStyle w:val="TableText0"/>
              <w:rPr>
                <w:rFonts w:cstheme="minorHAnsi"/>
                <w:sz w:val="20"/>
                <w:szCs w:val="20"/>
              </w:rPr>
            </w:pPr>
            <w:r w:rsidRPr="00325B0D">
              <w:rPr>
                <w:rFonts w:cs="Arial"/>
                <w:sz w:val="20"/>
                <w:szCs w:val="20"/>
              </w:rPr>
              <w:t>Peeled carrot</w:t>
            </w:r>
          </w:p>
        </w:tc>
        <w:tc>
          <w:tcPr>
            <w:tcW w:w="0" w:type="auto"/>
            <w:tcMar>
              <w:left w:w="108" w:type="dxa"/>
              <w:right w:w="108" w:type="dxa"/>
            </w:tcMar>
          </w:tcPr>
          <w:p w14:paraId="6DBEC982" w14:textId="7DA84FC3" w:rsidR="00A102E8" w:rsidRPr="00325B0D" w:rsidRDefault="00A102E8" w:rsidP="00567B7F">
            <w:pPr>
              <w:pStyle w:val="TableText0"/>
              <w:rPr>
                <w:rFonts w:cstheme="minorHAnsi"/>
                <w:sz w:val="20"/>
                <w:szCs w:val="20"/>
              </w:rPr>
            </w:pPr>
            <w:r w:rsidRPr="00325B0D">
              <w:rPr>
                <w:rFonts w:cs="Arial"/>
                <w:sz w:val="20"/>
                <w:szCs w:val="20"/>
              </w:rPr>
              <w:t>0.04 – 0.05</w:t>
            </w:r>
          </w:p>
        </w:tc>
        <w:tc>
          <w:tcPr>
            <w:tcW w:w="0" w:type="auto"/>
            <w:tcMar>
              <w:left w:w="108" w:type="dxa"/>
              <w:right w:w="108" w:type="dxa"/>
            </w:tcMar>
          </w:tcPr>
          <w:p w14:paraId="4B458513" w14:textId="3D08F050" w:rsidR="00A102E8" w:rsidRPr="00325B0D" w:rsidRDefault="00A102E8" w:rsidP="00567B7F">
            <w:pPr>
              <w:pStyle w:val="TableText0"/>
              <w:rPr>
                <w:rFonts w:cstheme="minorHAnsi"/>
                <w:sz w:val="20"/>
                <w:szCs w:val="20"/>
              </w:rPr>
            </w:pPr>
            <w:r w:rsidRPr="00325B0D">
              <w:rPr>
                <w:rFonts w:cs="Arial"/>
                <w:sz w:val="20"/>
                <w:szCs w:val="20"/>
              </w:rPr>
              <w:t>WW</w:t>
            </w:r>
          </w:p>
        </w:tc>
        <w:tc>
          <w:tcPr>
            <w:tcW w:w="0" w:type="auto"/>
            <w:tcMar>
              <w:left w:w="108" w:type="dxa"/>
              <w:right w:w="108" w:type="dxa"/>
            </w:tcMar>
          </w:tcPr>
          <w:p w14:paraId="450F05B1" w14:textId="1AF80C4D" w:rsidR="00A102E8" w:rsidRPr="00325B0D" w:rsidRDefault="00A102E8" w:rsidP="00567B7F">
            <w:pPr>
              <w:pStyle w:val="TableText0"/>
              <w:rPr>
                <w:rFonts w:cstheme="minorHAnsi"/>
                <w:sz w:val="20"/>
                <w:szCs w:val="20"/>
              </w:rPr>
            </w:pPr>
            <w:r w:rsidRPr="00325B0D">
              <w:rPr>
                <w:rFonts w:cs="Arial"/>
                <w:sz w:val="20"/>
                <w:szCs w:val="20"/>
              </w:rPr>
              <w:t>Lechner &amp; Knapp 2011</w:t>
            </w:r>
          </w:p>
        </w:tc>
        <w:tc>
          <w:tcPr>
            <w:tcW w:w="0" w:type="auto"/>
          </w:tcPr>
          <w:p w14:paraId="6C5A1E55" w14:textId="38FC9447" w:rsidR="00A102E8" w:rsidRPr="00325B0D" w:rsidRDefault="00A102E8" w:rsidP="00567B7F">
            <w:pPr>
              <w:pStyle w:val="TableText0"/>
              <w:rPr>
                <w:rFonts w:cstheme="minorHAnsi"/>
                <w:sz w:val="20"/>
                <w:szCs w:val="20"/>
              </w:rPr>
            </w:pPr>
            <w:r w:rsidRPr="00325B0D">
              <w:rPr>
                <w:rFonts w:cs="Arial"/>
                <w:sz w:val="20"/>
                <w:szCs w:val="20"/>
              </w:rPr>
              <w:t>NR</w:t>
            </w:r>
          </w:p>
        </w:tc>
        <w:tc>
          <w:tcPr>
            <w:tcW w:w="0" w:type="auto"/>
          </w:tcPr>
          <w:p w14:paraId="584A8436" w14:textId="4CD14B5F" w:rsidR="00A102E8" w:rsidRPr="00325B0D" w:rsidRDefault="00A102E8" w:rsidP="00567B7F">
            <w:pPr>
              <w:pStyle w:val="TableText0"/>
              <w:rPr>
                <w:rFonts w:cstheme="minorHAnsi"/>
                <w:sz w:val="20"/>
                <w:szCs w:val="20"/>
              </w:rPr>
            </w:pPr>
            <w:r w:rsidRPr="00325B0D">
              <w:rPr>
                <w:rFonts w:cs="Arial"/>
                <w:sz w:val="20"/>
                <w:szCs w:val="20"/>
              </w:rPr>
              <w:t>0.05</w:t>
            </w:r>
          </w:p>
        </w:tc>
      </w:tr>
      <w:tr w:rsidR="00A102E8" w14:paraId="54FEE7F8" w14:textId="77777777" w:rsidTr="00B11D37">
        <w:tc>
          <w:tcPr>
            <w:tcW w:w="0" w:type="auto"/>
            <w:vMerge/>
          </w:tcPr>
          <w:p w14:paraId="7FF7900F" w14:textId="77777777" w:rsidR="00A102E8" w:rsidRPr="00DA71B8" w:rsidRDefault="00A102E8" w:rsidP="00567B7F">
            <w:pPr>
              <w:pStyle w:val="TableText0"/>
            </w:pPr>
          </w:p>
        </w:tc>
        <w:tc>
          <w:tcPr>
            <w:tcW w:w="0" w:type="auto"/>
            <w:tcMar>
              <w:left w:w="108" w:type="dxa"/>
              <w:right w:w="108" w:type="dxa"/>
            </w:tcMar>
          </w:tcPr>
          <w:p w14:paraId="575E82C3" w14:textId="144564B7" w:rsidR="00A102E8" w:rsidRPr="00325B0D" w:rsidRDefault="00A102E8" w:rsidP="00567B7F">
            <w:pPr>
              <w:pStyle w:val="TableText0"/>
              <w:rPr>
                <w:rFonts w:cstheme="minorHAnsi"/>
                <w:sz w:val="20"/>
                <w:szCs w:val="20"/>
              </w:rPr>
            </w:pPr>
            <w:r w:rsidRPr="00325B0D">
              <w:rPr>
                <w:rFonts w:cs="Arial"/>
                <w:sz w:val="20"/>
                <w:szCs w:val="20"/>
              </w:rPr>
              <w:t>Carrot peel</w:t>
            </w:r>
          </w:p>
        </w:tc>
        <w:tc>
          <w:tcPr>
            <w:tcW w:w="0" w:type="auto"/>
            <w:tcMar>
              <w:left w:w="108" w:type="dxa"/>
              <w:right w:w="108" w:type="dxa"/>
            </w:tcMar>
          </w:tcPr>
          <w:p w14:paraId="5FCB61A8" w14:textId="453574DB" w:rsidR="00A102E8" w:rsidRPr="00325B0D" w:rsidRDefault="00A102E8" w:rsidP="00567B7F">
            <w:pPr>
              <w:pStyle w:val="TableText0"/>
              <w:rPr>
                <w:rFonts w:cstheme="minorHAnsi"/>
                <w:sz w:val="20"/>
                <w:szCs w:val="20"/>
              </w:rPr>
            </w:pPr>
            <w:r w:rsidRPr="00325B0D">
              <w:rPr>
                <w:rFonts w:cs="Arial"/>
                <w:sz w:val="20"/>
                <w:szCs w:val="20"/>
              </w:rPr>
              <w:t>0.4 – 05</w:t>
            </w:r>
          </w:p>
        </w:tc>
        <w:tc>
          <w:tcPr>
            <w:tcW w:w="0" w:type="auto"/>
            <w:tcMar>
              <w:left w:w="108" w:type="dxa"/>
              <w:right w:w="108" w:type="dxa"/>
            </w:tcMar>
          </w:tcPr>
          <w:p w14:paraId="186E5CAD" w14:textId="2ED0CE20" w:rsidR="00A102E8" w:rsidRPr="00325B0D" w:rsidRDefault="00A102E8" w:rsidP="00567B7F">
            <w:pPr>
              <w:pStyle w:val="TableText0"/>
              <w:rPr>
                <w:rFonts w:cstheme="minorHAnsi"/>
                <w:sz w:val="20"/>
                <w:szCs w:val="20"/>
              </w:rPr>
            </w:pPr>
            <w:r w:rsidRPr="00325B0D">
              <w:rPr>
                <w:rFonts w:cs="Arial"/>
                <w:sz w:val="20"/>
                <w:szCs w:val="20"/>
              </w:rPr>
              <w:t>DW</w:t>
            </w:r>
          </w:p>
        </w:tc>
        <w:tc>
          <w:tcPr>
            <w:tcW w:w="0" w:type="auto"/>
            <w:tcMar>
              <w:left w:w="108" w:type="dxa"/>
              <w:right w:w="108" w:type="dxa"/>
            </w:tcMar>
          </w:tcPr>
          <w:p w14:paraId="5CE608E0" w14:textId="1B806FED" w:rsidR="00A102E8" w:rsidRPr="00325B0D" w:rsidRDefault="00A102E8" w:rsidP="00567B7F">
            <w:pPr>
              <w:pStyle w:val="TableText0"/>
              <w:rPr>
                <w:rFonts w:cstheme="minorHAnsi"/>
                <w:sz w:val="20"/>
                <w:szCs w:val="20"/>
              </w:rPr>
            </w:pPr>
            <w:proofErr w:type="spellStart"/>
            <w:r w:rsidRPr="00325B0D">
              <w:rPr>
                <w:rFonts w:cs="Arial"/>
                <w:sz w:val="20"/>
                <w:szCs w:val="20"/>
              </w:rPr>
              <w:t>Bizkarguenaga</w:t>
            </w:r>
            <w:proofErr w:type="spellEnd"/>
            <w:r w:rsidRPr="00325B0D">
              <w:rPr>
                <w:rFonts w:cs="Arial"/>
                <w:sz w:val="20"/>
                <w:szCs w:val="20"/>
              </w:rPr>
              <w:t xml:space="preserve"> et al. 2016</w:t>
            </w:r>
          </w:p>
        </w:tc>
        <w:tc>
          <w:tcPr>
            <w:tcW w:w="0" w:type="auto"/>
          </w:tcPr>
          <w:p w14:paraId="7FEF63C5" w14:textId="2952A9D2" w:rsidR="00A102E8" w:rsidRPr="00325B0D" w:rsidRDefault="00A102E8" w:rsidP="00567B7F">
            <w:pPr>
              <w:pStyle w:val="TableText0"/>
              <w:rPr>
                <w:rFonts w:cstheme="minorHAnsi"/>
                <w:sz w:val="20"/>
                <w:szCs w:val="20"/>
              </w:rPr>
            </w:pPr>
            <w:r w:rsidRPr="00325B0D">
              <w:rPr>
                <w:rFonts w:cs="Arial"/>
                <w:sz w:val="20"/>
                <w:szCs w:val="20"/>
              </w:rPr>
              <w:t>88</w:t>
            </w:r>
          </w:p>
        </w:tc>
        <w:tc>
          <w:tcPr>
            <w:tcW w:w="0" w:type="auto"/>
          </w:tcPr>
          <w:p w14:paraId="1DD37A13" w14:textId="6349A525" w:rsidR="00A102E8" w:rsidRPr="00325B0D" w:rsidRDefault="00A102E8" w:rsidP="00567B7F">
            <w:pPr>
              <w:pStyle w:val="TableText0"/>
              <w:rPr>
                <w:rFonts w:cstheme="minorHAnsi"/>
                <w:sz w:val="20"/>
                <w:szCs w:val="20"/>
              </w:rPr>
            </w:pPr>
            <w:r w:rsidRPr="00325B0D">
              <w:rPr>
                <w:rFonts w:cs="Arial"/>
                <w:sz w:val="20"/>
                <w:szCs w:val="20"/>
              </w:rPr>
              <w:t>0.06</w:t>
            </w:r>
          </w:p>
        </w:tc>
      </w:tr>
      <w:tr w:rsidR="00A102E8" w14:paraId="733555F2" w14:textId="77777777" w:rsidTr="00B11D37">
        <w:tc>
          <w:tcPr>
            <w:tcW w:w="0" w:type="auto"/>
            <w:vMerge/>
          </w:tcPr>
          <w:p w14:paraId="07AF317C" w14:textId="77777777" w:rsidR="00A102E8" w:rsidRPr="00DA71B8" w:rsidRDefault="00A102E8" w:rsidP="00567B7F">
            <w:pPr>
              <w:pStyle w:val="TableText0"/>
            </w:pPr>
          </w:p>
        </w:tc>
        <w:tc>
          <w:tcPr>
            <w:tcW w:w="0" w:type="auto"/>
            <w:tcMar>
              <w:left w:w="108" w:type="dxa"/>
              <w:right w:w="108" w:type="dxa"/>
            </w:tcMar>
          </w:tcPr>
          <w:p w14:paraId="670A1F09" w14:textId="1B515DB3" w:rsidR="00A102E8" w:rsidRPr="00325B0D" w:rsidRDefault="00A102E8" w:rsidP="00567B7F">
            <w:pPr>
              <w:pStyle w:val="TableText0"/>
              <w:rPr>
                <w:rFonts w:cstheme="minorHAnsi"/>
                <w:sz w:val="20"/>
                <w:szCs w:val="20"/>
              </w:rPr>
            </w:pPr>
            <w:r w:rsidRPr="00325B0D">
              <w:rPr>
                <w:rFonts w:cs="Arial"/>
                <w:sz w:val="20"/>
                <w:szCs w:val="20"/>
              </w:rPr>
              <w:t>Carrot peel</w:t>
            </w:r>
          </w:p>
        </w:tc>
        <w:tc>
          <w:tcPr>
            <w:tcW w:w="0" w:type="auto"/>
            <w:tcMar>
              <w:left w:w="108" w:type="dxa"/>
              <w:right w:w="108" w:type="dxa"/>
            </w:tcMar>
          </w:tcPr>
          <w:p w14:paraId="0A5596EE" w14:textId="1B846D07" w:rsidR="00A102E8" w:rsidRPr="00325B0D" w:rsidRDefault="00A102E8" w:rsidP="00567B7F">
            <w:pPr>
              <w:pStyle w:val="TableText0"/>
              <w:rPr>
                <w:rFonts w:cstheme="minorHAnsi"/>
                <w:sz w:val="20"/>
                <w:szCs w:val="20"/>
              </w:rPr>
            </w:pPr>
            <w:r w:rsidRPr="00325B0D">
              <w:rPr>
                <w:rFonts w:cs="Arial"/>
                <w:sz w:val="20"/>
                <w:szCs w:val="20"/>
              </w:rPr>
              <w:t>0.03 – 0.04</w:t>
            </w:r>
          </w:p>
        </w:tc>
        <w:tc>
          <w:tcPr>
            <w:tcW w:w="0" w:type="auto"/>
            <w:tcMar>
              <w:left w:w="108" w:type="dxa"/>
              <w:right w:w="108" w:type="dxa"/>
            </w:tcMar>
          </w:tcPr>
          <w:p w14:paraId="108BE934" w14:textId="42576695" w:rsidR="00A102E8" w:rsidRPr="00325B0D" w:rsidRDefault="00A102E8" w:rsidP="00567B7F">
            <w:pPr>
              <w:pStyle w:val="TableText0"/>
              <w:rPr>
                <w:rFonts w:cstheme="minorHAnsi"/>
                <w:sz w:val="20"/>
                <w:szCs w:val="20"/>
              </w:rPr>
            </w:pPr>
            <w:r w:rsidRPr="00325B0D">
              <w:rPr>
                <w:rFonts w:cs="Arial"/>
                <w:sz w:val="20"/>
                <w:szCs w:val="20"/>
              </w:rPr>
              <w:t>WW</w:t>
            </w:r>
          </w:p>
        </w:tc>
        <w:tc>
          <w:tcPr>
            <w:tcW w:w="0" w:type="auto"/>
            <w:tcMar>
              <w:left w:w="108" w:type="dxa"/>
              <w:right w:w="108" w:type="dxa"/>
            </w:tcMar>
          </w:tcPr>
          <w:p w14:paraId="627E20F8" w14:textId="2E072F15" w:rsidR="00A102E8" w:rsidRPr="00325B0D" w:rsidRDefault="00A102E8" w:rsidP="00567B7F">
            <w:pPr>
              <w:pStyle w:val="TableText0"/>
              <w:rPr>
                <w:rFonts w:cstheme="minorHAnsi"/>
                <w:sz w:val="20"/>
                <w:szCs w:val="20"/>
              </w:rPr>
            </w:pPr>
            <w:r w:rsidRPr="00325B0D">
              <w:rPr>
                <w:rFonts w:cs="Arial"/>
                <w:sz w:val="20"/>
                <w:szCs w:val="20"/>
              </w:rPr>
              <w:t>Lechner &amp; Knapp 2011</w:t>
            </w:r>
          </w:p>
        </w:tc>
        <w:tc>
          <w:tcPr>
            <w:tcW w:w="0" w:type="auto"/>
          </w:tcPr>
          <w:p w14:paraId="1BC3A2F6" w14:textId="64A60102" w:rsidR="00A102E8" w:rsidRPr="00325B0D" w:rsidRDefault="00A102E8" w:rsidP="00567B7F">
            <w:pPr>
              <w:pStyle w:val="TableText0"/>
              <w:rPr>
                <w:rFonts w:cstheme="minorHAnsi"/>
                <w:sz w:val="20"/>
                <w:szCs w:val="20"/>
              </w:rPr>
            </w:pPr>
            <w:r w:rsidRPr="00325B0D">
              <w:rPr>
                <w:rFonts w:cs="Arial"/>
                <w:sz w:val="20"/>
                <w:szCs w:val="20"/>
              </w:rPr>
              <w:t>NR</w:t>
            </w:r>
          </w:p>
        </w:tc>
        <w:tc>
          <w:tcPr>
            <w:tcW w:w="0" w:type="auto"/>
          </w:tcPr>
          <w:p w14:paraId="3B4F7B2E" w14:textId="4F819566" w:rsidR="00A102E8" w:rsidRPr="00325B0D" w:rsidRDefault="00A102E8" w:rsidP="00567B7F">
            <w:pPr>
              <w:pStyle w:val="TableText0"/>
              <w:rPr>
                <w:rFonts w:cstheme="minorHAnsi"/>
                <w:sz w:val="20"/>
                <w:szCs w:val="20"/>
              </w:rPr>
            </w:pPr>
            <w:r w:rsidRPr="00325B0D">
              <w:rPr>
                <w:rFonts w:cs="Arial"/>
                <w:sz w:val="20"/>
                <w:szCs w:val="20"/>
              </w:rPr>
              <w:t>0.04</w:t>
            </w:r>
          </w:p>
        </w:tc>
      </w:tr>
      <w:tr w:rsidR="00567B7F" w14:paraId="2E3B3E4F" w14:textId="0D2507DD" w:rsidTr="00B11D37">
        <w:tc>
          <w:tcPr>
            <w:tcW w:w="0" w:type="auto"/>
            <w:vMerge w:val="restart"/>
          </w:tcPr>
          <w:p w14:paraId="08CEBF34" w14:textId="05C57727" w:rsidR="00567B7F" w:rsidRPr="00DA71B8" w:rsidRDefault="00567B7F" w:rsidP="00567B7F">
            <w:pPr>
              <w:pStyle w:val="TableText0"/>
            </w:pPr>
            <w:r>
              <w:t xml:space="preserve">Tuber vegetable </w:t>
            </w:r>
          </w:p>
        </w:tc>
        <w:tc>
          <w:tcPr>
            <w:tcW w:w="0" w:type="auto"/>
            <w:shd w:val="clear" w:color="auto" w:fill="FFFFFF" w:themeFill="background1"/>
            <w:tcMar>
              <w:left w:w="108" w:type="dxa"/>
              <w:right w:w="108" w:type="dxa"/>
            </w:tcMar>
          </w:tcPr>
          <w:p w14:paraId="7E89D081" w14:textId="573065FB" w:rsidR="00567B7F" w:rsidRPr="004636DE" w:rsidRDefault="00567B7F" w:rsidP="00567B7F">
            <w:pPr>
              <w:pStyle w:val="TableText0"/>
              <w:rPr>
                <w:b/>
                <w:bCs/>
              </w:rPr>
            </w:pPr>
            <w:r w:rsidRPr="004636DE">
              <w:rPr>
                <w:rFonts w:cs="Arial"/>
                <w:b/>
                <w:bCs/>
                <w:sz w:val="20"/>
                <w:szCs w:val="20"/>
              </w:rPr>
              <w:t>Potato peel</w:t>
            </w:r>
          </w:p>
        </w:tc>
        <w:tc>
          <w:tcPr>
            <w:tcW w:w="0" w:type="auto"/>
            <w:shd w:val="clear" w:color="auto" w:fill="FFFFFF" w:themeFill="background1"/>
            <w:tcMar>
              <w:left w:w="108" w:type="dxa"/>
              <w:right w:w="108" w:type="dxa"/>
            </w:tcMar>
          </w:tcPr>
          <w:p w14:paraId="0810E1EC" w14:textId="0571F649" w:rsidR="00567B7F" w:rsidRPr="004636DE" w:rsidRDefault="00567B7F" w:rsidP="00567B7F">
            <w:pPr>
              <w:pStyle w:val="TableText0"/>
              <w:rPr>
                <w:b/>
                <w:bCs/>
              </w:rPr>
            </w:pPr>
            <w:r w:rsidRPr="004636DE">
              <w:rPr>
                <w:rFonts w:cs="Arial"/>
                <w:b/>
                <w:bCs/>
                <w:sz w:val="20"/>
                <w:szCs w:val="20"/>
              </w:rPr>
              <w:t>0.01 – 0.05</w:t>
            </w:r>
          </w:p>
        </w:tc>
        <w:tc>
          <w:tcPr>
            <w:tcW w:w="0" w:type="auto"/>
            <w:shd w:val="clear" w:color="auto" w:fill="FFFFFF" w:themeFill="background1"/>
            <w:tcMar>
              <w:left w:w="108" w:type="dxa"/>
              <w:right w:w="108" w:type="dxa"/>
            </w:tcMar>
          </w:tcPr>
          <w:p w14:paraId="0AB7D45C" w14:textId="684CE2B8" w:rsidR="00567B7F" w:rsidRPr="004636DE" w:rsidRDefault="00567B7F" w:rsidP="00567B7F">
            <w:pPr>
              <w:pStyle w:val="TableText0"/>
              <w:rPr>
                <w:b/>
                <w:bCs/>
              </w:rPr>
            </w:pPr>
            <w:r w:rsidRPr="004636DE">
              <w:rPr>
                <w:rFonts w:cs="Arial"/>
                <w:b/>
                <w:bCs/>
                <w:sz w:val="20"/>
                <w:szCs w:val="20"/>
              </w:rPr>
              <w:t>WW</w:t>
            </w:r>
          </w:p>
        </w:tc>
        <w:tc>
          <w:tcPr>
            <w:tcW w:w="0" w:type="auto"/>
            <w:shd w:val="clear" w:color="auto" w:fill="FFFFFF" w:themeFill="background1"/>
            <w:tcMar>
              <w:left w:w="108" w:type="dxa"/>
              <w:right w:w="108" w:type="dxa"/>
            </w:tcMar>
          </w:tcPr>
          <w:p w14:paraId="495A74AF" w14:textId="42E9CF7F" w:rsidR="00567B7F" w:rsidRPr="004636DE" w:rsidRDefault="00567B7F" w:rsidP="00567B7F">
            <w:pPr>
              <w:pStyle w:val="TableText0"/>
              <w:rPr>
                <w:b/>
                <w:bCs/>
              </w:rPr>
            </w:pPr>
            <w:r w:rsidRPr="004636DE">
              <w:rPr>
                <w:rFonts w:cs="Arial"/>
                <w:b/>
                <w:bCs/>
                <w:sz w:val="20"/>
                <w:szCs w:val="20"/>
              </w:rPr>
              <w:t>Lechner &amp; Knapp 2011</w:t>
            </w:r>
          </w:p>
        </w:tc>
        <w:tc>
          <w:tcPr>
            <w:tcW w:w="0" w:type="auto"/>
            <w:shd w:val="clear" w:color="auto" w:fill="FFFFFF" w:themeFill="background1"/>
          </w:tcPr>
          <w:p w14:paraId="1C531542" w14:textId="1ECA2457" w:rsidR="00567B7F" w:rsidRPr="004636DE" w:rsidRDefault="00567B7F" w:rsidP="00567B7F">
            <w:pPr>
              <w:pStyle w:val="TableText0"/>
              <w:rPr>
                <w:rFonts w:cstheme="minorHAnsi"/>
                <w:b/>
                <w:bCs/>
                <w:sz w:val="20"/>
                <w:szCs w:val="20"/>
              </w:rPr>
            </w:pPr>
            <w:r w:rsidRPr="004636DE">
              <w:rPr>
                <w:rFonts w:cs="Arial"/>
                <w:b/>
                <w:bCs/>
                <w:sz w:val="20"/>
                <w:szCs w:val="20"/>
              </w:rPr>
              <w:t>NR</w:t>
            </w:r>
          </w:p>
        </w:tc>
        <w:tc>
          <w:tcPr>
            <w:tcW w:w="0" w:type="auto"/>
            <w:shd w:val="clear" w:color="auto" w:fill="FFFFFF" w:themeFill="background1"/>
          </w:tcPr>
          <w:p w14:paraId="60AB4F32" w14:textId="4BE0D1FB" w:rsidR="00567B7F" w:rsidRPr="004636DE" w:rsidRDefault="00567B7F" w:rsidP="00567B7F">
            <w:pPr>
              <w:pStyle w:val="TableText0"/>
              <w:rPr>
                <w:rFonts w:cstheme="minorHAnsi"/>
                <w:b/>
                <w:bCs/>
                <w:sz w:val="20"/>
                <w:szCs w:val="20"/>
              </w:rPr>
            </w:pPr>
            <w:r w:rsidRPr="004636DE">
              <w:rPr>
                <w:rFonts w:cs="Arial"/>
                <w:b/>
                <w:bCs/>
                <w:sz w:val="20"/>
                <w:szCs w:val="20"/>
              </w:rPr>
              <w:t>0.05</w:t>
            </w:r>
          </w:p>
        </w:tc>
      </w:tr>
      <w:tr w:rsidR="00567B7F" w14:paraId="4A289FCF" w14:textId="270A2DEC" w:rsidTr="00B11D37">
        <w:tc>
          <w:tcPr>
            <w:tcW w:w="0" w:type="auto"/>
            <w:vMerge/>
          </w:tcPr>
          <w:p w14:paraId="31D22348" w14:textId="77777777" w:rsidR="00567B7F" w:rsidRDefault="00567B7F" w:rsidP="00567B7F">
            <w:pPr>
              <w:pStyle w:val="TableText0"/>
            </w:pPr>
          </w:p>
        </w:tc>
        <w:tc>
          <w:tcPr>
            <w:tcW w:w="0" w:type="auto"/>
            <w:tcMar>
              <w:left w:w="108" w:type="dxa"/>
              <w:right w:w="108" w:type="dxa"/>
            </w:tcMar>
          </w:tcPr>
          <w:p w14:paraId="65A05F0A" w14:textId="76AD2E0C" w:rsidR="00567B7F" w:rsidRDefault="00567B7F" w:rsidP="00567B7F">
            <w:pPr>
              <w:pStyle w:val="TableText0"/>
            </w:pPr>
            <w:r w:rsidRPr="00325B0D">
              <w:rPr>
                <w:rFonts w:cs="Arial"/>
                <w:sz w:val="20"/>
                <w:szCs w:val="20"/>
              </w:rPr>
              <w:t>Peeled potato</w:t>
            </w:r>
          </w:p>
        </w:tc>
        <w:tc>
          <w:tcPr>
            <w:tcW w:w="0" w:type="auto"/>
            <w:tcMar>
              <w:left w:w="108" w:type="dxa"/>
              <w:right w:w="108" w:type="dxa"/>
            </w:tcMar>
          </w:tcPr>
          <w:p w14:paraId="546AF353" w14:textId="7BA88C44" w:rsidR="00567B7F" w:rsidRDefault="00567B7F" w:rsidP="00567B7F">
            <w:pPr>
              <w:pStyle w:val="TableText0"/>
            </w:pPr>
            <w:r w:rsidRPr="00325B0D">
              <w:rPr>
                <w:rFonts w:cs="Arial"/>
                <w:sz w:val="20"/>
                <w:szCs w:val="20"/>
              </w:rPr>
              <w:t>0.0006 – 0.0007</w:t>
            </w:r>
          </w:p>
        </w:tc>
        <w:tc>
          <w:tcPr>
            <w:tcW w:w="0" w:type="auto"/>
            <w:tcMar>
              <w:left w:w="108" w:type="dxa"/>
              <w:right w:w="108" w:type="dxa"/>
            </w:tcMar>
          </w:tcPr>
          <w:p w14:paraId="26059830" w14:textId="5F8D6518" w:rsidR="00567B7F" w:rsidRDefault="00567B7F" w:rsidP="00567B7F">
            <w:pPr>
              <w:pStyle w:val="TableText0"/>
            </w:pPr>
            <w:r w:rsidRPr="00325B0D">
              <w:rPr>
                <w:rFonts w:cs="Arial"/>
                <w:sz w:val="20"/>
                <w:szCs w:val="20"/>
              </w:rPr>
              <w:t>DW</w:t>
            </w:r>
          </w:p>
        </w:tc>
        <w:tc>
          <w:tcPr>
            <w:tcW w:w="0" w:type="auto"/>
            <w:tcMar>
              <w:left w:w="108" w:type="dxa"/>
              <w:right w:w="108" w:type="dxa"/>
            </w:tcMar>
          </w:tcPr>
          <w:p w14:paraId="3FAC2588" w14:textId="28127A4D" w:rsidR="00567B7F" w:rsidRDefault="00567B7F" w:rsidP="00567B7F">
            <w:pPr>
              <w:pStyle w:val="TableText0"/>
            </w:pPr>
            <w:r w:rsidRPr="00325B0D">
              <w:rPr>
                <w:rFonts w:cs="Arial"/>
                <w:sz w:val="20"/>
                <w:szCs w:val="20"/>
              </w:rPr>
              <w:t>Stahl et al. 2009</w:t>
            </w:r>
          </w:p>
        </w:tc>
        <w:tc>
          <w:tcPr>
            <w:tcW w:w="0" w:type="auto"/>
          </w:tcPr>
          <w:p w14:paraId="0C8D7F67" w14:textId="67EAA134" w:rsidR="00567B7F" w:rsidRPr="00325B0D" w:rsidRDefault="00567B7F" w:rsidP="00567B7F">
            <w:pPr>
              <w:pStyle w:val="TableText0"/>
              <w:rPr>
                <w:rFonts w:cstheme="minorHAnsi"/>
                <w:sz w:val="20"/>
                <w:szCs w:val="20"/>
              </w:rPr>
            </w:pPr>
            <w:r w:rsidRPr="00325B0D">
              <w:rPr>
                <w:rFonts w:cs="Arial"/>
                <w:sz w:val="20"/>
                <w:szCs w:val="20"/>
              </w:rPr>
              <w:t>79</w:t>
            </w:r>
          </w:p>
        </w:tc>
        <w:tc>
          <w:tcPr>
            <w:tcW w:w="0" w:type="auto"/>
          </w:tcPr>
          <w:p w14:paraId="4C907AC5" w14:textId="2F3741CD" w:rsidR="00567B7F" w:rsidRPr="00325B0D" w:rsidRDefault="00567B7F" w:rsidP="00567B7F">
            <w:pPr>
              <w:pStyle w:val="TableText0"/>
              <w:rPr>
                <w:rFonts w:cstheme="minorHAnsi"/>
                <w:sz w:val="20"/>
                <w:szCs w:val="20"/>
              </w:rPr>
            </w:pPr>
            <w:r w:rsidRPr="00325B0D">
              <w:rPr>
                <w:rFonts w:cs="Arial"/>
                <w:sz w:val="20"/>
                <w:szCs w:val="20"/>
              </w:rPr>
              <w:t>0.0002</w:t>
            </w:r>
          </w:p>
        </w:tc>
      </w:tr>
      <w:tr w:rsidR="00567B7F" w14:paraId="570570C2" w14:textId="5DC2AEB5" w:rsidTr="00B11D37">
        <w:tc>
          <w:tcPr>
            <w:tcW w:w="0" w:type="auto"/>
            <w:vMerge/>
          </w:tcPr>
          <w:p w14:paraId="13879408" w14:textId="77777777" w:rsidR="00567B7F" w:rsidRDefault="00567B7F" w:rsidP="00567B7F">
            <w:pPr>
              <w:pStyle w:val="TableText0"/>
            </w:pPr>
          </w:p>
        </w:tc>
        <w:tc>
          <w:tcPr>
            <w:tcW w:w="0" w:type="auto"/>
            <w:tcMar>
              <w:left w:w="108" w:type="dxa"/>
              <w:right w:w="108" w:type="dxa"/>
            </w:tcMar>
          </w:tcPr>
          <w:p w14:paraId="5346A37D" w14:textId="4B4320E7" w:rsidR="00567B7F" w:rsidRDefault="00567B7F" w:rsidP="00567B7F">
            <w:pPr>
              <w:pStyle w:val="TableText0"/>
            </w:pPr>
            <w:r w:rsidRPr="00325B0D">
              <w:rPr>
                <w:rFonts w:cs="Arial"/>
                <w:sz w:val="20"/>
                <w:szCs w:val="20"/>
              </w:rPr>
              <w:t>Potato peel</w:t>
            </w:r>
          </w:p>
        </w:tc>
        <w:tc>
          <w:tcPr>
            <w:tcW w:w="0" w:type="auto"/>
            <w:tcMar>
              <w:left w:w="108" w:type="dxa"/>
              <w:right w:w="108" w:type="dxa"/>
            </w:tcMar>
          </w:tcPr>
          <w:p w14:paraId="57FACF2C" w14:textId="0CB4072C" w:rsidR="00567B7F" w:rsidRDefault="00567B7F" w:rsidP="00567B7F">
            <w:pPr>
              <w:pStyle w:val="TableText0"/>
            </w:pPr>
            <w:r w:rsidRPr="00325B0D">
              <w:rPr>
                <w:rFonts w:cs="Arial"/>
                <w:sz w:val="20"/>
                <w:szCs w:val="20"/>
              </w:rPr>
              <w:t>0.007 – 0.02</w:t>
            </w:r>
          </w:p>
        </w:tc>
        <w:tc>
          <w:tcPr>
            <w:tcW w:w="0" w:type="auto"/>
            <w:tcMar>
              <w:left w:w="108" w:type="dxa"/>
              <w:right w:w="108" w:type="dxa"/>
            </w:tcMar>
          </w:tcPr>
          <w:p w14:paraId="4BEA9FE1" w14:textId="67C1D5D1" w:rsidR="00567B7F" w:rsidRDefault="00567B7F" w:rsidP="00567B7F">
            <w:pPr>
              <w:pStyle w:val="TableText0"/>
            </w:pPr>
            <w:r w:rsidRPr="00325B0D">
              <w:rPr>
                <w:rFonts w:cs="Arial"/>
                <w:sz w:val="20"/>
                <w:szCs w:val="20"/>
              </w:rPr>
              <w:t>DW</w:t>
            </w:r>
          </w:p>
        </w:tc>
        <w:tc>
          <w:tcPr>
            <w:tcW w:w="0" w:type="auto"/>
            <w:tcMar>
              <w:left w:w="108" w:type="dxa"/>
              <w:right w:w="108" w:type="dxa"/>
            </w:tcMar>
          </w:tcPr>
          <w:p w14:paraId="03044CDD" w14:textId="06EBF727" w:rsidR="00567B7F" w:rsidRDefault="00567B7F" w:rsidP="00567B7F">
            <w:pPr>
              <w:pStyle w:val="TableText0"/>
            </w:pPr>
            <w:r w:rsidRPr="00325B0D">
              <w:rPr>
                <w:rFonts w:cs="Arial"/>
                <w:sz w:val="20"/>
                <w:szCs w:val="20"/>
              </w:rPr>
              <w:t>Stahl et al. 2009</w:t>
            </w:r>
          </w:p>
        </w:tc>
        <w:tc>
          <w:tcPr>
            <w:tcW w:w="0" w:type="auto"/>
          </w:tcPr>
          <w:p w14:paraId="32720955" w14:textId="25754466" w:rsidR="00567B7F" w:rsidRPr="00325B0D" w:rsidRDefault="00567B7F" w:rsidP="00567B7F">
            <w:pPr>
              <w:pStyle w:val="TableText0"/>
              <w:rPr>
                <w:rFonts w:cstheme="minorHAnsi"/>
                <w:sz w:val="20"/>
                <w:szCs w:val="20"/>
              </w:rPr>
            </w:pPr>
            <w:r w:rsidRPr="00325B0D">
              <w:rPr>
                <w:rFonts w:cs="Arial"/>
                <w:sz w:val="20"/>
                <w:szCs w:val="20"/>
              </w:rPr>
              <w:t>79</w:t>
            </w:r>
          </w:p>
        </w:tc>
        <w:tc>
          <w:tcPr>
            <w:tcW w:w="0" w:type="auto"/>
          </w:tcPr>
          <w:p w14:paraId="10B5391D" w14:textId="1ECDBD7F" w:rsidR="00567B7F" w:rsidRPr="00325B0D" w:rsidRDefault="00567B7F" w:rsidP="00567B7F">
            <w:pPr>
              <w:pStyle w:val="TableText0"/>
              <w:rPr>
                <w:rFonts w:cstheme="minorHAnsi"/>
                <w:sz w:val="20"/>
                <w:szCs w:val="20"/>
              </w:rPr>
            </w:pPr>
            <w:r w:rsidRPr="00325B0D">
              <w:rPr>
                <w:rFonts w:cs="Arial"/>
                <w:sz w:val="20"/>
                <w:szCs w:val="20"/>
              </w:rPr>
              <w:t>0.004</w:t>
            </w:r>
          </w:p>
        </w:tc>
      </w:tr>
      <w:tr w:rsidR="00567B7F" w14:paraId="2CF87CC0" w14:textId="135CBB78" w:rsidTr="00B11D37">
        <w:tc>
          <w:tcPr>
            <w:tcW w:w="0" w:type="auto"/>
            <w:vMerge/>
          </w:tcPr>
          <w:p w14:paraId="06C39E58" w14:textId="77777777" w:rsidR="00567B7F" w:rsidRDefault="00567B7F" w:rsidP="00567B7F">
            <w:pPr>
              <w:pStyle w:val="TableText0"/>
            </w:pPr>
          </w:p>
        </w:tc>
        <w:tc>
          <w:tcPr>
            <w:tcW w:w="0" w:type="auto"/>
            <w:tcMar>
              <w:left w:w="108" w:type="dxa"/>
              <w:right w:w="108" w:type="dxa"/>
            </w:tcMar>
          </w:tcPr>
          <w:p w14:paraId="199E549D" w14:textId="43B61EBD" w:rsidR="00567B7F" w:rsidRPr="00325B0D" w:rsidRDefault="00567B7F" w:rsidP="00567B7F">
            <w:pPr>
              <w:pStyle w:val="TableText0"/>
              <w:rPr>
                <w:rFonts w:cstheme="minorHAnsi"/>
                <w:sz w:val="20"/>
                <w:szCs w:val="20"/>
              </w:rPr>
            </w:pPr>
            <w:r w:rsidRPr="00325B0D">
              <w:rPr>
                <w:rFonts w:cs="Arial"/>
                <w:sz w:val="20"/>
                <w:szCs w:val="20"/>
              </w:rPr>
              <w:t>Peeled potato</w:t>
            </w:r>
          </w:p>
        </w:tc>
        <w:tc>
          <w:tcPr>
            <w:tcW w:w="0" w:type="auto"/>
            <w:tcMar>
              <w:left w:w="108" w:type="dxa"/>
              <w:right w:w="108" w:type="dxa"/>
            </w:tcMar>
          </w:tcPr>
          <w:p w14:paraId="6A20B8D0" w14:textId="17F9B091" w:rsidR="00567B7F" w:rsidRPr="00325B0D" w:rsidRDefault="00567B7F" w:rsidP="00567B7F">
            <w:pPr>
              <w:pStyle w:val="TableText0"/>
              <w:rPr>
                <w:rFonts w:cstheme="minorHAnsi"/>
                <w:sz w:val="20"/>
                <w:szCs w:val="20"/>
              </w:rPr>
            </w:pPr>
            <w:r w:rsidRPr="00325B0D">
              <w:rPr>
                <w:rFonts w:cs="Arial"/>
                <w:sz w:val="20"/>
                <w:szCs w:val="20"/>
              </w:rPr>
              <w:t>&lt;LOD – 0.002</w:t>
            </w:r>
          </w:p>
        </w:tc>
        <w:tc>
          <w:tcPr>
            <w:tcW w:w="0" w:type="auto"/>
            <w:tcMar>
              <w:left w:w="108" w:type="dxa"/>
              <w:right w:w="108" w:type="dxa"/>
            </w:tcMar>
          </w:tcPr>
          <w:p w14:paraId="045F0318" w14:textId="1105A040" w:rsidR="00567B7F" w:rsidRPr="00325B0D" w:rsidRDefault="00567B7F" w:rsidP="00567B7F">
            <w:pPr>
              <w:pStyle w:val="TableText0"/>
              <w:rPr>
                <w:rFonts w:cstheme="minorHAnsi"/>
                <w:sz w:val="20"/>
                <w:szCs w:val="20"/>
              </w:rPr>
            </w:pPr>
            <w:r w:rsidRPr="00325B0D">
              <w:rPr>
                <w:rFonts w:cs="Arial"/>
                <w:sz w:val="20"/>
                <w:szCs w:val="20"/>
              </w:rPr>
              <w:t>WW</w:t>
            </w:r>
          </w:p>
        </w:tc>
        <w:tc>
          <w:tcPr>
            <w:tcW w:w="0" w:type="auto"/>
            <w:tcMar>
              <w:left w:w="108" w:type="dxa"/>
              <w:right w:w="108" w:type="dxa"/>
            </w:tcMar>
          </w:tcPr>
          <w:p w14:paraId="4C06690A" w14:textId="2868D4FB" w:rsidR="00567B7F" w:rsidRPr="00325B0D" w:rsidRDefault="00567B7F" w:rsidP="00567B7F">
            <w:pPr>
              <w:pStyle w:val="TableText0"/>
              <w:rPr>
                <w:rFonts w:cstheme="minorHAnsi"/>
                <w:sz w:val="20"/>
                <w:szCs w:val="20"/>
              </w:rPr>
            </w:pPr>
            <w:r w:rsidRPr="00325B0D">
              <w:rPr>
                <w:rFonts w:cs="Arial"/>
                <w:sz w:val="20"/>
                <w:szCs w:val="20"/>
              </w:rPr>
              <w:t>Lechner &amp; Knapp 2011</w:t>
            </w:r>
          </w:p>
        </w:tc>
        <w:tc>
          <w:tcPr>
            <w:tcW w:w="0" w:type="auto"/>
          </w:tcPr>
          <w:p w14:paraId="41DD7F6A" w14:textId="58BF7554" w:rsidR="00567B7F" w:rsidRPr="00325B0D" w:rsidRDefault="00567B7F" w:rsidP="00567B7F">
            <w:pPr>
              <w:pStyle w:val="TableText0"/>
              <w:rPr>
                <w:rFonts w:cstheme="minorHAnsi"/>
                <w:sz w:val="20"/>
                <w:szCs w:val="20"/>
              </w:rPr>
            </w:pPr>
            <w:r w:rsidRPr="00325B0D">
              <w:rPr>
                <w:rFonts w:cs="Arial"/>
                <w:sz w:val="20"/>
                <w:szCs w:val="20"/>
              </w:rPr>
              <w:t>NR</w:t>
            </w:r>
          </w:p>
        </w:tc>
        <w:tc>
          <w:tcPr>
            <w:tcW w:w="0" w:type="auto"/>
          </w:tcPr>
          <w:p w14:paraId="6790AB54" w14:textId="4404F0AE" w:rsidR="00567B7F" w:rsidRPr="00325B0D" w:rsidRDefault="00567B7F" w:rsidP="00567B7F">
            <w:pPr>
              <w:pStyle w:val="TableText0"/>
              <w:rPr>
                <w:rFonts w:cstheme="minorHAnsi"/>
                <w:sz w:val="20"/>
                <w:szCs w:val="20"/>
              </w:rPr>
            </w:pPr>
            <w:r w:rsidRPr="00325B0D">
              <w:rPr>
                <w:rFonts w:cs="Arial"/>
                <w:sz w:val="20"/>
                <w:szCs w:val="20"/>
              </w:rPr>
              <w:t>0.002</w:t>
            </w:r>
          </w:p>
        </w:tc>
      </w:tr>
      <w:tr w:rsidR="00567B7F" w14:paraId="3999B640" w14:textId="32853648" w:rsidTr="00B11D37">
        <w:tc>
          <w:tcPr>
            <w:tcW w:w="0" w:type="auto"/>
            <w:vMerge w:val="restart"/>
          </w:tcPr>
          <w:p w14:paraId="7FFBF43B" w14:textId="49F5F6F9" w:rsidR="00567B7F" w:rsidRDefault="00567B7F" w:rsidP="00567B7F">
            <w:pPr>
              <w:pStyle w:val="TableText0"/>
            </w:pPr>
            <w:r>
              <w:t>Fruit</w:t>
            </w:r>
          </w:p>
        </w:tc>
        <w:tc>
          <w:tcPr>
            <w:tcW w:w="0" w:type="auto"/>
            <w:shd w:val="clear" w:color="auto" w:fill="FFFFFF" w:themeFill="background1"/>
            <w:tcMar>
              <w:left w:w="108" w:type="dxa"/>
              <w:right w:w="108" w:type="dxa"/>
            </w:tcMar>
          </w:tcPr>
          <w:p w14:paraId="7FD576D6" w14:textId="6C41C1CD" w:rsidR="00567B7F" w:rsidRPr="00B11D37" w:rsidRDefault="00567B7F" w:rsidP="00567B7F">
            <w:pPr>
              <w:pStyle w:val="TableText0"/>
              <w:rPr>
                <w:rFonts w:cstheme="minorHAnsi"/>
                <w:b/>
                <w:bCs/>
                <w:sz w:val="20"/>
                <w:szCs w:val="20"/>
              </w:rPr>
            </w:pPr>
            <w:r w:rsidRPr="00B11D37">
              <w:rPr>
                <w:rFonts w:cs="Arial"/>
                <w:b/>
                <w:bCs/>
                <w:sz w:val="20"/>
                <w:szCs w:val="20"/>
              </w:rPr>
              <w:t xml:space="preserve">Tomato </w:t>
            </w:r>
            <w:r w:rsidR="004C25C0" w:rsidRPr="004636DE">
              <w:rPr>
                <w:b/>
                <w:bCs/>
                <w:sz w:val="20"/>
                <w:szCs w:val="20"/>
                <w:vertAlign w:val="superscript"/>
              </w:rPr>
              <w:t>b</w:t>
            </w:r>
          </w:p>
        </w:tc>
        <w:tc>
          <w:tcPr>
            <w:tcW w:w="0" w:type="auto"/>
            <w:shd w:val="clear" w:color="auto" w:fill="FFFFFF" w:themeFill="background1"/>
            <w:tcMar>
              <w:left w:w="108" w:type="dxa"/>
              <w:right w:w="108" w:type="dxa"/>
            </w:tcMar>
          </w:tcPr>
          <w:p w14:paraId="3B3CF63D" w14:textId="62BE9FEC" w:rsidR="00567B7F" w:rsidRPr="00B11D37" w:rsidRDefault="00567B7F" w:rsidP="00567B7F">
            <w:pPr>
              <w:pStyle w:val="TableText0"/>
              <w:rPr>
                <w:rFonts w:cstheme="minorHAnsi"/>
                <w:b/>
                <w:bCs/>
                <w:sz w:val="20"/>
                <w:szCs w:val="20"/>
              </w:rPr>
            </w:pPr>
            <w:r w:rsidRPr="00B11D37">
              <w:rPr>
                <w:rFonts w:cs="Arial"/>
                <w:b/>
                <w:bCs/>
                <w:sz w:val="20"/>
                <w:szCs w:val="20"/>
              </w:rPr>
              <w:t>0.25</w:t>
            </w:r>
          </w:p>
        </w:tc>
        <w:tc>
          <w:tcPr>
            <w:tcW w:w="0" w:type="auto"/>
            <w:shd w:val="clear" w:color="auto" w:fill="FFFFFF" w:themeFill="background1"/>
            <w:tcMar>
              <w:left w:w="108" w:type="dxa"/>
              <w:right w:w="108" w:type="dxa"/>
            </w:tcMar>
          </w:tcPr>
          <w:p w14:paraId="2CBF5DCD" w14:textId="391EACDF" w:rsidR="00567B7F" w:rsidRPr="00B11D37" w:rsidRDefault="00567B7F" w:rsidP="00567B7F">
            <w:pPr>
              <w:pStyle w:val="TableText0"/>
              <w:rPr>
                <w:rFonts w:cstheme="minorHAnsi"/>
                <w:b/>
                <w:bCs/>
                <w:sz w:val="20"/>
                <w:szCs w:val="20"/>
              </w:rPr>
            </w:pPr>
            <w:r w:rsidRPr="00B11D37">
              <w:rPr>
                <w:rFonts w:cs="Arial"/>
                <w:b/>
                <w:bCs/>
                <w:sz w:val="20"/>
                <w:szCs w:val="20"/>
              </w:rPr>
              <w:t>DW</w:t>
            </w:r>
          </w:p>
        </w:tc>
        <w:tc>
          <w:tcPr>
            <w:tcW w:w="0" w:type="auto"/>
            <w:shd w:val="clear" w:color="auto" w:fill="FFFFFF" w:themeFill="background1"/>
            <w:tcMar>
              <w:left w:w="108" w:type="dxa"/>
              <w:right w:w="108" w:type="dxa"/>
            </w:tcMar>
          </w:tcPr>
          <w:p w14:paraId="447E3A91" w14:textId="2B2DDC7B" w:rsidR="00567B7F" w:rsidRPr="00B11D37" w:rsidRDefault="00567B7F" w:rsidP="00567B7F">
            <w:pPr>
              <w:pStyle w:val="TableText0"/>
              <w:rPr>
                <w:rFonts w:cstheme="minorHAnsi"/>
                <w:b/>
                <w:bCs/>
                <w:sz w:val="20"/>
                <w:szCs w:val="20"/>
              </w:rPr>
            </w:pPr>
            <w:r w:rsidRPr="00B11D37">
              <w:rPr>
                <w:rFonts w:cs="Arial"/>
                <w:b/>
                <w:bCs/>
                <w:sz w:val="20"/>
                <w:szCs w:val="20"/>
              </w:rPr>
              <w:t>Bao et al. 2020</w:t>
            </w:r>
          </w:p>
        </w:tc>
        <w:tc>
          <w:tcPr>
            <w:tcW w:w="0" w:type="auto"/>
            <w:shd w:val="clear" w:color="auto" w:fill="FFFFFF" w:themeFill="background1"/>
          </w:tcPr>
          <w:p w14:paraId="4B9BB992" w14:textId="197027B6" w:rsidR="00567B7F" w:rsidRPr="00B11D37" w:rsidRDefault="00567B7F" w:rsidP="00567B7F">
            <w:pPr>
              <w:pStyle w:val="TableText0"/>
              <w:rPr>
                <w:rFonts w:cstheme="minorHAnsi"/>
                <w:b/>
                <w:bCs/>
                <w:sz w:val="20"/>
                <w:szCs w:val="20"/>
              </w:rPr>
            </w:pPr>
            <w:r w:rsidRPr="00B11D37">
              <w:rPr>
                <w:rFonts w:cs="Arial"/>
                <w:b/>
                <w:bCs/>
                <w:sz w:val="20"/>
                <w:szCs w:val="20"/>
              </w:rPr>
              <w:t>94</w:t>
            </w:r>
          </w:p>
        </w:tc>
        <w:tc>
          <w:tcPr>
            <w:tcW w:w="0" w:type="auto"/>
            <w:shd w:val="clear" w:color="auto" w:fill="FFFFFF" w:themeFill="background1"/>
          </w:tcPr>
          <w:p w14:paraId="3B8040DF" w14:textId="7EB04076" w:rsidR="00567B7F" w:rsidRPr="00B11D37" w:rsidRDefault="00567B7F" w:rsidP="00567B7F">
            <w:pPr>
              <w:pStyle w:val="TableText0"/>
              <w:rPr>
                <w:rFonts w:cstheme="minorHAnsi"/>
                <w:b/>
                <w:bCs/>
                <w:sz w:val="20"/>
                <w:szCs w:val="20"/>
              </w:rPr>
            </w:pPr>
            <w:r w:rsidRPr="00B11D37">
              <w:rPr>
                <w:rFonts w:cs="Arial"/>
                <w:b/>
                <w:bCs/>
                <w:sz w:val="20"/>
                <w:szCs w:val="20"/>
              </w:rPr>
              <w:t>0.015</w:t>
            </w:r>
          </w:p>
        </w:tc>
      </w:tr>
      <w:tr w:rsidR="00567B7F" w14:paraId="4CB92B92" w14:textId="42458740" w:rsidTr="00B11D37">
        <w:tc>
          <w:tcPr>
            <w:tcW w:w="0" w:type="auto"/>
            <w:vMerge/>
          </w:tcPr>
          <w:p w14:paraId="58F18C77" w14:textId="77777777" w:rsidR="00567B7F" w:rsidRDefault="00567B7F" w:rsidP="00567B7F">
            <w:pPr>
              <w:pStyle w:val="TableText0"/>
            </w:pPr>
          </w:p>
        </w:tc>
        <w:tc>
          <w:tcPr>
            <w:tcW w:w="0" w:type="auto"/>
            <w:shd w:val="clear" w:color="auto" w:fill="auto"/>
            <w:tcMar>
              <w:left w:w="108" w:type="dxa"/>
              <w:right w:w="108" w:type="dxa"/>
            </w:tcMar>
          </w:tcPr>
          <w:p w14:paraId="45A69B8E" w14:textId="5CDF5FB1" w:rsidR="00567B7F" w:rsidRPr="00325B0D" w:rsidRDefault="00567B7F" w:rsidP="00567B7F">
            <w:pPr>
              <w:pStyle w:val="TableText0"/>
              <w:rPr>
                <w:rFonts w:cstheme="minorHAnsi"/>
                <w:sz w:val="20"/>
                <w:szCs w:val="20"/>
              </w:rPr>
            </w:pPr>
            <w:r w:rsidRPr="00325B0D">
              <w:rPr>
                <w:rFonts w:cs="Arial"/>
                <w:sz w:val="20"/>
                <w:szCs w:val="20"/>
              </w:rPr>
              <w:t>Pea</w:t>
            </w:r>
          </w:p>
        </w:tc>
        <w:tc>
          <w:tcPr>
            <w:tcW w:w="0" w:type="auto"/>
            <w:shd w:val="clear" w:color="auto" w:fill="auto"/>
            <w:tcMar>
              <w:left w:w="108" w:type="dxa"/>
              <w:right w:w="108" w:type="dxa"/>
            </w:tcMar>
          </w:tcPr>
          <w:p w14:paraId="23AA66C3" w14:textId="0A211FD8" w:rsidR="00567B7F" w:rsidRPr="00325B0D" w:rsidRDefault="00567B7F" w:rsidP="00567B7F">
            <w:pPr>
              <w:pStyle w:val="TableText0"/>
              <w:rPr>
                <w:rFonts w:cstheme="minorHAnsi"/>
                <w:sz w:val="20"/>
                <w:szCs w:val="20"/>
              </w:rPr>
            </w:pPr>
            <w:r w:rsidRPr="00325B0D">
              <w:rPr>
                <w:rFonts w:cs="Arial"/>
                <w:sz w:val="20"/>
                <w:szCs w:val="20"/>
              </w:rPr>
              <w:t>0.03</w:t>
            </w:r>
          </w:p>
        </w:tc>
        <w:tc>
          <w:tcPr>
            <w:tcW w:w="0" w:type="auto"/>
            <w:shd w:val="clear" w:color="auto" w:fill="auto"/>
            <w:tcMar>
              <w:left w:w="108" w:type="dxa"/>
              <w:right w:w="108" w:type="dxa"/>
            </w:tcMar>
          </w:tcPr>
          <w:p w14:paraId="5B3507F4" w14:textId="332311AA" w:rsidR="00567B7F" w:rsidRPr="00325B0D" w:rsidRDefault="00567B7F" w:rsidP="00567B7F">
            <w:pPr>
              <w:pStyle w:val="TableText0"/>
              <w:rPr>
                <w:rFonts w:cstheme="minorHAnsi"/>
                <w:sz w:val="20"/>
                <w:szCs w:val="20"/>
              </w:rPr>
            </w:pPr>
            <w:r w:rsidRPr="00325B0D">
              <w:rPr>
                <w:rFonts w:cs="Arial"/>
                <w:sz w:val="20"/>
                <w:szCs w:val="20"/>
              </w:rPr>
              <w:t>DW</w:t>
            </w:r>
          </w:p>
        </w:tc>
        <w:tc>
          <w:tcPr>
            <w:tcW w:w="0" w:type="auto"/>
            <w:shd w:val="clear" w:color="auto" w:fill="auto"/>
            <w:tcMar>
              <w:left w:w="108" w:type="dxa"/>
              <w:right w:w="108" w:type="dxa"/>
            </w:tcMar>
          </w:tcPr>
          <w:p w14:paraId="1C7EEF90" w14:textId="5EB86EDF" w:rsidR="00567B7F" w:rsidRPr="00325B0D" w:rsidRDefault="00567B7F" w:rsidP="00567B7F">
            <w:pPr>
              <w:pStyle w:val="TableText0"/>
              <w:rPr>
                <w:rFonts w:cstheme="minorHAnsi"/>
                <w:sz w:val="20"/>
                <w:szCs w:val="20"/>
              </w:rPr>
            </w:pPr>
            <w:r w:rsidRPr="00325B0D">
              <w:rPr>
                <w:rFonts w:cs="Arial"/>
                <w:sz w:val="20"/>
                <w:szCs w:val="20"/>
              </w:rPr>
              <w:t>Blaine et al. 2014</w:t>
            </w:r>
          </w:p>
        </w:tc>
        <w:tc>
          <w:tcPr>
            <w:tcW w:w="0" w:type="auto"/>
            <w:shd w:val="clear" w:color="auto" w:fill="auto"/>
          </w:tcPr>
          <w:p w14:paraId="7A723A35" w14:textId="648257B2" w:rsidR="00567B7F" w:rsidRPr="00325B0D" w:rsidRDefault="00567B7F" w:rsidP="00567B7F">
            <w:pPr>
              <w:pStyle w:val="TableText0"/>
              <w:rPr>
                <w:rFonts w:cstheme="minorHAnsi"/>
                <w:sz w:val="20"/>
                <w:szCs w:val="20"/>
              </w:rPr>
            </w:pPr>
            <w:r w:rsidRPr="00325B0D">
              <w:rPr>
                <w:rFonts w:cs="Arial"/>
                <w:sz w:val="20"/>
                <w:szCs w:val="20"/>
              </w:rPr>
              <w:t>82*</w:t>
            </w:r>
          </w:p>
        </w:tc>
        <w:tc>
          <w:tcPr>
            <w:tcW w:w="0" w:type="auto"/>
            <w:shd w:val="clear" w:color="auto" w:fill="auto"/>
          </w:tcPr>
          <w:p w14:paraId="00626CBC" w14:textId="776B3D13" w:rsidR="00567B7F" w:rsidRPr="00325B0D" w:rsidRDefault="00567B7F" w:rsidP="00567B7F">
            <w:pPr>
              <w:pStyle w:val="TableText0"/>
              <w:rPr>
                <w:rFonts w:cstheme="minorHAnsi"/>
                <w:sz w:val="20"/>
                <w:szCs w:val="20"/>
              </w:rPr>
            </w:pPr>
            <w:r w:rsidRPr="00325B0D">
              <w:rPr>
                <w:rFonts w:cs="Arial"/>
                <w:sz w:val="20"/>
                <w:szCs w:val="20"/>
              </w:rPr>
              <w:t>0.005</w:t>
            </w:r>
          </w:p>
        </w:tc>
      </w:tr>
      <w:tr w:rsidR="00567B7F" w14:paraId="281138C6" w14:textId="5AF20A8A" w:rsidTr="00B11D37">
        <w:tc>
          <w:tcPr>
            <w:tcW w:w="0" w:type="auto"/>
            <w:vMerge/>
          </w:tcPr>
          <w:p w14:paraId="76C96C15" w14:textId="77777777" w:rsidR="00567B7F" w:rsidRDefault="00567B7F" w:rsidP="00567B7F">
            <w:pPr>
              <w:pStyle w:val="TableText0"/>
            </w:pPr>
          </w:p>
        </w:tc>
        <w:tc>
          <w:tcPr>
            <w:tcW w:w="0" w:type="auto"/>
            <w:tcMar>
              <w:left w:w="108" w:type="dxa"/>
              <w:right w:w="108" w:type="dxa"/>
            </w:tcMar>
          </w:tcPr>
          <w:p w14:paraId="28445EFC" w14:textId="3A255013" w:rsidR="00567B7F" w:rsidRPr="00325B0D" w:rsidRDefault="00567B7F" w:rsidP="00567B7F">
            <w:pPr>
              <w:pStyle w:val="TableText0"/>
              <w:rPr>
                <w:rFonts w:cstheme="minorHAnsi"/>
                <w:sz w:val="20"/>
                <w:szCs w:val="20"/>
              </w:rPr>
            </w:pPr>
            <w:r w:rsidRPr="00325B0D">
              <w:rPr>
                <w:rFonts w:cs="Arial"/>
                <w:sz w:val="20"/>
                <w:szCs w:val="20"/>
              </w:rPr>
              <w:t>Tomato</w:t>
            </w:r>
          </w:p>
        </w:tc>
        <w:tc>
          <w:tcPr>
            <w:tcW w:w="0" w:type="auto"/>
            <w:tcMar>
              <w:left w:w="108" w:type="dxa"/>
              <w:right w:w="108" w:type="dxa"/>
            </w:tcMar>
          </w:tcPr>
          <w:p w14:paraId="61FCBF0A" w14:textId="25A7FB96" w:rsidR="00567B7F" w:rsidRPr="00325B0D" w:rsidRDefault="00567B7F" w:rsidP="00567B7F">
            <w:pPr>
              <w:pStyle w:val="TableText0"/>
              <w:rPr>
                <w:rFonts w:cstheme="minorHAnsi"/>
                <w:sz w:val="20"/>
                <w:szCs w:val="20"/>
              </w:rPr>
            </w:pPr>
            <w:r w:rsidRPr="00325B0D">
              <w:rPr>
                <w:rFonts w:cs="Arial"/>
                <w:sz w:val="20"/>
                <w:szCs w:val="20"/>
              </w:rPr>
              <w:t>0.02 – 0.07</w:t>
            </w:r>
          </w:p>
        </w:tc>
        <w:tc>
          <w:tcPr>
            <w:tcW w:w="0" w:type="auto"/>
            <w:tcMar>
              <w:left w:w="108" w:type="dxa"/>
              <w:right w:w="108" w:type="dxa"/>
            </w:tcMar>
          </w:tcPr>
          <w:p w14:paraId="3839C623" w14:textId="0F9D056D" w:rsidR="00567B7F" w:rsidRPr="00325B0D" w:rsidRDefault="00567B7F" w:rsidP="00567B7F">
            <w:pPr>
              <w:pStyle w:val="TableText0"/>
              <w:rPr>
                <w:rFonts w:cstheme="minorHAnsi"/>
                <w:sz w:val="20"/>
                <w:szCs w:val="20"/>
              </w:rPr>
            </w:pPr>
            <w:r w:rsidRPr="00325B0D">
              <w:rPr>
                <w:rFonts w:cs="Arial"/>
                <w:sz w:val="20"/>
                <w:szCs w:val="20"/>
              </w:rPr>
              <w:t>DW</w:t>
            </w:r>
          </w:p>
        </w:tc>
        <w:tc>
          <w:tcPr>
            <w:tcW w:w="0" w:type="auto"/>
            <w:tcMar>
              <w:left w:w="108" w:type="dxa"/>
              <w:right w:w="108" w:type="dxa"/>
            </w:tcMar>
          </w:tcPr>
          <w:p w14:paraId="1B730EF3" w14:textId="2D3C8477" w:rsidR="00567B7F" w:rsidRPr="00325B0D" w:rsidRDefault="00567B7F" w:rsidP="00567B7F">
            <w:pPr>
              <w:pStyle w:val="TableText0"/>
              <w:rPr>
                <w:rFonts w:cstheme="minorHAnsi"/>
                <w:sz w:val="20"/>
                <w:szCs w:val="20"/>
              </w:rPr>
            </w:pPr>
            <w:proofErr w:type="spellStart"/>
            <w:r w:rsidRPr="00325B0D">
              <w:rPr>
                <w:rFonts w:cs="Arial"/>
                <w:sz w:val="20"/>
                <w:szCs w:val="20"/>
              </w:rPr>
              <w:t>Brignole</w:t>
            </w:r>
            <w:proofErr w:type="spellEnd"/>
            <w:r w:rsidRPr="00325B0D">
              <w:rPr>
                <w:rFonts w:cs="Arial"/>
                <w:sz w:val="20"/>
                <w:szCs w:val="20"/>
              </w:rPr>
              <w:t xml:space="preserve"> et al. 2003</w:t>
            </w:r>
          </w:p>
        </w:tc>
        <w:tc>
          <w:tcPr>
            <w:tcW w:w="0" w:type="auto"/>
          </w:tcPr>
          <w:p w14:paraId="4CF00697" w14:textId="05B29177" w:rsidR="00567B7F" w:rsidRPr="00325B0D" w:rsidRDefault="00567B7F" w:rsidP="00567B7F">
            <w:pPr>
              <w:pStyle w:val="TableText0"/>
              <w:rPr>
                <w:rFonts w:cstheme="minorHAnsi"/>
                <w:sz w:val="20"/>
                <w:szCs w:val="20"/>
              </w:rPr>
            </w:pPr>
            <w:r w:rsidRPr="00325B0D">
              <w:rPr>
                <w:rFonts w:cs="Arial"/>
                <w:sz w:val="20"/>
                <w:szCs w:val="20"/>
              </w:rPr>
              <w:t>94</w:t>
            </w:r>
          </w:p>
        </w:tc>
        <w:tc>
          <w:tcPr>
            <w:tcW w:w="0" w:type="auto"/>
          </w:tcPr>
          <w:p w14:paraId="128B2A5A" w14:textId="2E83399B" w:rsidR="00567B7F" w:rsidRPr="00325B0D" w:rsidRDefault="00567B7F" w:rsidP="00567B7F">
            <w:pPr>
              <w:pStyle w:val="TableText0"/>
              <w:rPr>
                <w:rFonts w:cstheme="minorHAnsi"/>
                <w:sz w:val="20"/>
                <w:szCs w:val="20"/>
              </w:rPr>
            </w:pPr>
            <w:r w:rsidRPr="00325B0D">
              <w:rPr>
                <w:rFonts w:cs="Arial"/>
                <w:sz w:val="20"/>
                <w:szCs w:val="20"/>
              </w:rPr>
              <w:t>0.004</w:t>
            </w:r>
          </w:p>
        </w:tc>
      </w:tr>
      <w:tr w:rsidR="00567B7F" w14:paraId="75413084" w14:textId="7FE474DD" w:rsidTr="00B11D37">
        <w:tc>
          <w:tcPr>
            <w:tcW w:w="0" w:type="auto"/>
            <w:vMerge/>
          </w:tcPr>
          <w:p w14:paraId="37BBDC1F" w14:textId="77777777" w:rsidR="00567B7F" w:rsidRDefault="00567B7F" w:rsidP="00567B7F">
            <w:pPr>
              <w:pStyle w:val="TableText0"/>
            </w:pPr>
          </w:p>
        </w:tc>
        <w:tc>
          <w:tcPr>
            <w:tcW w:w="0" w:type="auto"/>
            <w:tcMar>
              <w:left w:w="108" w:type="dxa"/>
              <w:right w:w="108" w:type="dxa"/>
            </w:tcMar>
          </w:tcPr>
          <w:p w14:paraId="3CF86315" w14:textId="6036E024" w:rsidR="00567B7F" w:rsidRPr="004302E6" w:rsidRDefault="00567B7F" w:rsidP="00567B7F">
            <w:pPr>
              <w:pStyle w:val="TableText0"/>
              <w:rPr>
                <w:rFonts w:cstheme="minorHAnsi"/>
                <w:sz w:val="20"/>
                <w:szCs w:val="20"/>
                <w:vertAlign w:val="superscript"/>
              </w:rPr>
            </w:pPr>
            <w:proofErr w:type="spellStart"/>
            <w:r w:rsidRPr="00325B0D">
              <w:rPr>
                <w:rFonts w:cs="Arial"/>
                <w:sz w:val="20"/>
                <w:szCs w:val="20"/>
              </w:rPr>
              <w:t>Cucumber</w:t>
            </w:r>
            <w:r w:rsidR="004302E6">
              <w:rPr>
                <w:rFonts w:cs="Arial"/>
                <w:sz w:val="20"/>
                <w:szCs w:val="20"/>
                <w:vertAlign w:val="superscript"/>
              </w:rPr>
              <w:t>b</w:t>
            </w:r>
            <w:proofErr w:type="spellEnd"/>
          </w:p>
        </w:tc>
        <w:tc>
          <w:tcPr>
            <w:tcW w:w="0" w:type="auto"/>
            <w:tcMar>
              <w:left w:w="108" w:type="dxa"/>
              <w:right w:w="108" w:type="dxa"/>
            </w:tcMar>
          </w:tcPr>
          <w:p w14:paraId="1FFE03F5" w14:textId="45DD9987" w:rsidR="00567B7F" w:rsidRPr="00325B0D" w:rsidRDefault="00567B7F" w:rsidP="00567B7F">
            <w:pPr>
              <w:pStyle w:val="TableText0"/>
              <w:rPr>
                <w:rFonts w:cstheme="minorHAnsi"/>
                <w:sz w:val="20"/>
                <w:szCs w:val="20"/>
              </w:rPr>
            </w:pPr>
            <w:r w:rsidRPr="00325B0D">
              <w:rPr>
                <w:rFonts w:cs="Arial"/>
                <w:sz w:val="20"/>
                <w:szCs w:val="20"/>
              </w:rPr>
              <w:t>0.20</w:t>
            </w:r>
          </w:p>
        </w:tc>
        <w:tc>
          <w:tcPr>
            <w:tcW w:w="0" w:type="auto"/>
            <w:tcMar>
              <w:left w:w="108" w:type="dxa"/>
              <w:right w:w="108" w:type="dxa"/>
            </w:tcMar>
          </w:tcPr>
          <w:p w14:paraId="6EEA93FC" w14:textId="78D2AF27" w:rsidR="00567B7F" w:rsidRPr="00325B0D" w:rsidRDefault="00567B7F" w:rsidP="00567B7F">
            <w:pPr>
              <w:pStyle w:val="TableText0"/>
              <w:rPr>
                <w:rFonts w:cstheme="minorHAnsi"/>
                <w:sz w:val="20"/>
                <w:szCs w:val="20"/>
              </w:rPr>
            </w:pPr>
            <w:r w:rsidRPr="00325B0D">
              <w:rPr>
                <w:rFonts w:cs="Arial"/>
                <w:sz w:val="20"/>
                <w:szCs w:val="20"/>
              </w:rPr>
              <w:t>DW</w:t>
            </w:r>
          </w:p>
        </w:tc>
        <w:tc>
          <w:tcPr>
            <w:tcW w:w="0" w:type="auto"/>
            <w:tcMar>
              <w:left w:w="108" w:type="dxa"/>
              <w:right w:w="108" w:type="dxa"/>
            </w:tcMar>
          </w:tcPr>
          <w:p w14:paraId="383C1D6A" w14:textId="361233BA" w:rsidR="00567B7F" w:rsidRPr="00325B0D" w:rsidRDefault="00567B7F" w:rsidP="00567B7F">
            <w:pPr>
              <w:pStyle w:val="TableText0"/>
              <w:rPr>
                <w:rFonts w:cstheme="minorHAnsi"/>
                <w:sz w:val="20"/>
                <w:szCs w:val="20"/>
              </w:rPr>
            </w:pPr>
            <w:r w:rsidRPr="00325B0D">
              <w:rPr>
                <w:rFonts w:cs="Arial"/>
                <w:sz w:val="20"/>
                <w:szCs w:val="20"/>
              </w:rPr>
              <w:t>Bao et al. 2020</w:t>
            </w:r>
          </w:p>
        </w:tc>
        <w:tc>
          <w:tcPr>
            <w:tcW w:w="0" w:type="auto"/>
          </w:tcPr>
          <w:p w14:paraId="548A897F" w14:textId="73572ECC" w:rsidR="00567B7F" w:rsidRPr="00325B0D" w:rsidRDefault="00567B7F" w:rsidP="00567B7F">
            <w:pPr>
              <w:pStyle w:val="TableText0"/>
              <w:rPr>
                <w:rFonts w:cstheme="minorHAnsi"/>
                <w:sz w:val="20"/>
                <w:szCs w:val="20"/>
              </w:rPr>
            </w:pPr>
            <w:r w:rsidRPr="00325B0D">
              <w:rPr>
                <w:rFonts w:cs="Arial"/>
                <w:sz w:val="20"/>
                <w:szCs w:val="20"/>
              </w:rPr>
              <w:t>96</w:t>
            </w:r>
          </w:p>
        </w:tc>
        <w:tc>
          <w:tcPr>
            <w:tcW w:w="0" w:type="auto"/>
          </w:tcPr>
          <w:p w14:paraId="7A644EFF" w14:textId="72AB4C35" w:rsidR="00567B7F" w:rsidRPr="00325B0D" w:rsidRDefault="00567B7F" w:rsidP="00567B7F">
            <w:pPr>
              <w:pStyle w:val="TableText0"/>
              <w:rPr>
                <w:rFonts w:cstheme="minorHAnsi"/>
                <w:sz w:val="20"/>
                <w:szCs w:val="20"/>
              </w:rPr>
            </w:pPr>
            <w:r w:rsidRPr="00325B0D">
              <w:rPr>
                <w:rFonts w:cs="Arial"/>
                <w:sz w:val="20"/>
                <w:szCs w:val="20"/>
              </w:rPr>
              <w:t>0.008</w:t>
            </w:r>
          </w:p>
        </w:tc>
      </w:tr>
      <w:tr w:rsidR="00567B7F" w14:paraId="1F300418" w14:textId="77777777" w:rsidTr="00B11D37">
        <w:tc>
          <w:tcPr>
            <w:tcW w:w="0" w:type="auto"/>
          </w:tcPr>
          <w:p w14:paraId="73CBC0B3" w14:textId="77777777" w:rsidR="00567B7F" w:rsidRDefault="00567B7F" w:rsidP="00567B7F">
            <w:pPr>
              <w:pStyle w:val="TableText0"/>
            </w:pPr>
          </w:p>
        </w:tc>
        <w:tc>
          <w:tcPr>
            <w:tcW w:w="0" w:type="auto"/>
            <w:tcMar>
              <w:left w:w="108" w:type="dxa"/>
              <w:right w:w="108" w:type="dxa"/>
            </w:tcMar>
          </w:tcPr>
          <w:p w14:paraId="6AAC9720" w14:textId="30977016" w:rsidR="00567B7F" w:rsidRPr="00325B0D" w:rsidRDefault="00567B7F" w:rsidP="00567B7F">
            <w:pPr>
              <w:pStyle w:val="TableText0"/>
              <w:rPr>
                <w:rFonts w:cstheme="minorHAnsi"/>
                <w:sz w:val="20"/>
                <w:szCs w:val="20"/>
              </w:rPr>
            </w:pPr>
            <w:r w:rsidRPr="00325B0D">
              <w:rPr>
                <w:rFonts w:cs="Arial"/>
                <w:sz w:val="20"/>
                <w:szCs w:val="20"/>
              </w:rPr>
              <w:t>Cucumber</w:t>
            </w:r>
          </w:p>
        </w:tc>
        <w:tc>
          <w:tcPr>
            <w:tcW w:w="0" w:type="auto"/>
            <w:tcMar>
              <w:left w:w="108" w:type="dxa"/>
              <w:right w:w="108" w:type="dxa"/>
            </w:tcMar>
          </w:tcPr>
          <w:p w14:paraId="7A2E8974" w14:textId="3CB3C5F2" w:rsidR="00567B7F" w:rsidRPr="00325B0D" w:rsidRDefault="00567B7F" w:rsidP="00567B7F">
            <w:pPr>
              <w:pStyle w:val="TableText0"/>
              <w:rPr>
                <w:rFonts w:cstheme="minorHAnsi"/>
                <w:sz w:val="20"/>
                <w:szCs w:val="20"/>
              </w:rPr>
            </w:pPr>
            <w:r w:rsidRPr="00325B0D">
              <w:rPr>
                <w:rFonts w:cs="Arial"/>
                <w:sz w:val="20"/>
                <w:szCs w:val="20"/>
              </w:rPr>
              <w:t>0.002</w:t>
            </w:r>
          </w:p>
        </w:tc>
        <w:tc>
          <w:tcPr>
            <w:tcW w:w="0" w:type="auto"/>
            <w:tcMar>
              <w:left w:w="108" w:type="dxa"/>
              <w:right w:w="108" w:type="dxa"/>
            </w:tcMar>
          </w:tcPr>
          <w:p w14:paraId="665C1762" w14:textId="57BDB977" w:rsidR="00567B7F" w:rsidRPr="00325B0D" w:rsidRDefault="00567B7F" w:rsidP="00567B7F">
            <w:pPr>
              <w:pStyle w:val="TableText0"/>
              <w:rPr>
                <w:rFonts w:cstheme="minorHAnsi"/>
                <w:sz w:val="20"/>
                <w:szCs w:val="20"/>
              </w:rPr>
            </w:pPr>
            <w:r w:rsidRPr="00325B0D">
              <w:rPr>
                <w:rFonts w:cs="Arial"/>
                <w:sz w:val="20"/>
                <w:szCs w:val="20"/>
              </w:rPr>
              <w:t>WW</w:t>
            </w:r>
          </w:p>
        </w:tc>
        <w:tc>
          <w:tcPr>
            <w:tcW w:w="0" w:type="auto"/>
            <w:tcMar>
              <w:left w:w="108" w:type="dxa"/>
              <w:right w:w="108" w:type="dxa"/>
            </w:tcMar>
          </w:tcPr>
          <w:p w14:paraId="75F9E855" w14:textId="2481014B" w:rsidR="00567B7F" w:rsidRPr="00325B0D" w:rsidRDefault="00567B7F" w:rsidP="00567B7F">
            <w:pPr>
              <w:pStyle w:val="TableText0"/>
              <w:rPr>
                <w:rFonts w:cstheme="minorHAnsi"/>
                <w:sz w:val="20"/>
                <w:szCs w:val="20"/>
              </w:rPr>
            </w:pPr>
            <w:r w:rsidRPr="00325B0D">
              <w:rPr>
                <w:rFonts w:cs="Arial"/>
                <w:sz w:val="20"/>
                <w:szCs w:val="20"/>
              </w:rPr>
              <w:t>Lechner &amp; Knapp 2011</w:t>
            </w:r>
          </w:p>
        </w:tc>
        <w:tc>
          <w:tcPr>
            <w:tcW w:w="0" w:type="auto"/>
          </w:tcPr>
          <w:p w14:paraId="0F530E00" w14:textId="041B65C7" w:rsidR="00567B7F" w:rsidRPr="00325B0D" w:rsidRDefault="00567B7F" w:rsidP="00567B7F">
            <w:pPr>
              <w:pStyle w:val="TableText0"/>
              <w:rPr>
                <w:rFonts w:cstheme="minorHAnsi"/>
                <w:sz w:val="20"/>
                <w:szCs w:val="20"/>
              </w:rPr>
            </w:pPr>
            <w:r w:rsidRPr="00325B0D">
              <w:rPr>
                <w:rFonts w:cs="Arial"/>
                <w:sz w:val="20"/>
                <w:szCs w:val="20"/>
              </w:rPr>
              <w:t>NR</w:t>
            </w:r>
          </w:p>
        </w:tc>
        <w:tc>
          <w:tcPr>
            <w:tcW w:w="0" w:type="auto"/>
          </w:tcPr>
          <w:p w14:paraId="004CD911" w14:textId="2A1C3A5E" w:rsidR="00567B7F" w:rsidRPr="00325B0D" w:rsidRDefault="00567B7F" w:rsidP="00567B7F">
            <w:pPr>
              <w:pStyle w:val="TableText0"/>
              <w:rPr>
                <w:rFonts w:cstheme="minorHAnsi"/>
                <w:sz w:val="20"/>
                <w:szCs w:val="20"/>
              </w:rPr>
            </w:pPr>
            <w:r w:rsidRPr="00325B0D">
              <w:rPr>
                <w:rFonts w:cs="Arial"/>
                <w:sz w:val="20"/>
                <w:szCs w:val="20"/>
              </w:rPr>
              <w:t>0.002</w:t>
            </w:r>
          </w:p>
        </w:tc>
      </w:tr>
    </w:tbl>
    <w:p w14:paraId="518865B6" w14:textId="0192CAFA" w:rsidR="00F770CC" w:rsidRPr="00627105" w:rsidRDefault="00567B7F" w:rsidP="004C25C0">
      <w:pPr>
        <w:pStyle w:val="Normalsmall"/>
        <w:spacing w:after="60"/>
        <w:rPr>
          <w:sz w:val="20"/>
          <w:szCs w:val="20"/>
          <w:lang w:eastAsia="ja-JP"/>
        </w:rPr>
      </w:pPr>
      <w:r w:rsidRPr="00627105">
        <w:rPr>
          <w:sz w:val="20"/>
          <w:szCs w:val="20"/>
          <w:lang w:eastAsia="ja-JP"/>
        </w:rPr>
        <w:t xml:space="preserve">Notes </w:t>
      </w:r>
    </w:p>
    <w:p w14:paraId="4816F36B" w14:textId="73D12703" w:rsidR="002F1338" w:rsidRPr="00627105" w:rsidRDefault="002F1338" w:rsidP="004C25C0">
      <w:pPr>
        <w:pStyle w:val="Normalsmall"/>
        <w:spacing w:after="60"/>
        <w:rPr>
          <w:sz w:val="20"/>
          <w:szCs w:val="20"/>
        </w:rPr>
      </w:pPr>
      <w:r w:rsidRPr="00627105">
        <w:rPr>
          <w:sz w:val="20"/>
          <w:szCs w:val="20"/>
        </w:rPr>
        <w:t>DW = dry weight; WW = wet weight</w:t>
      </w:r>
    </w:p>
    <w:p w14:paraId="77819968" w14:textId="433A68A9" w:rsidR="002F1338" w:rsidRPr="00627105" w:rsidRDefault="002F1338" w:rsidP="004C25C0">
      <w:pPr>
        <w:pStyle w:val="Normalsmall"/>
        <w:spacing w:after="60"/>
        <w:rPr>
          <w:sz w:val="20"/>
          <w:szCs w:val="20"/>
        </w:rPr>
      </w:pPr>
      <w:r w:rsidRPr="00627105">
        <w:rPr>
          <w:sz w:val="20"/>
          <w:szCs w:val="20"/>
        </w:rPr>
        <w:t>NR = not required as plant concentrations on wet weight basis were available</w:t>
      </w:r>
    </w:p>
    <w:p w14:paraId="32CDE101" w14:textId="0653D236" w:rsidR="00734715" w:rsidRPr="00627105" w:rsidRDefault="00734715" w:rsidP="004C25C0">
      <w:pPr>
        <w:pStyle w:val="Normalsmall"/>
        <w:spacing w:after="60"/>
        <w:rPr>
          <w:sz w:val="20"/>
          <w:szCs w:val="20"/>
          <w:lang w:eastAsia="ja-JP"/>
        </w:rPr>
      </w:pPr>
      <w:r w:rsidRPr="00627105">
        <w:rPr>
          <w:sz w:val="20"/>
          <w:szCs w:val="20"/>
        </w:rPr>
        <w:t>LOD refers to the limit of detection</w:t>
      </w:r>
    </w:p>
    <w:p w14:paraId="18D9CC28" w14:textId="7CD464FA" w:rsidR="00DD7460" w:rsidRPr="00627105" w:rsidRDefault="00B11D37" w:rsidP="004C25C0">
      <w:pPr>
        <w:pStyle w:val="Normalsmall"/>
        <w:spacing w:after="60"/>
        <w:rPr>
          <w:sz w:val="20"/>
          <w:szCs w:val="20"/>
        </w:rPr>
      </w:pPr>
      <w:r w:rsidRPr="00627105">
        <w:rPr>
          <w:b/>
          <w:bCs/>
          <w:sz w:val="20"/>
          <w:szCs w:val="20"/>
        </w:rPr>
        <w:t>Bold</w:t>
      </w:r>
      <w:r w:rsidR="00567B7F" w:rsidRPr="00627105">
        <w:rPr>
          <w:b/>
          <w:bCs/>
          <w:sz w:val="20"/>
          <w:szCs w:val="20"/>
        </w:rPr>
        <w:t xml:space="preserve"> cells</w:t>
      </w:r>
      <w:r w:rsidR="00567B7F" w:rsidRPr="00627105">
        <w:rPr>
          <w:sz w:val="20"/>
          <w:szCs w:val="20"/>
        </w:rPr>
        <w:t xml:space="preserve"> indicate TFs used to derive HIL A</w:t>
      </w:r>
      <w:r w:rsidR="00DD7460" w:rsidRPr="00627105">
        <w:rPr>
          <w:sz w:val="20"/>
          <w:szCs w:val="20"/>
        </w:rPr>
        <w:t xml:space="preserve">. </w:t>
      </w:r>
      <w:r w:rsidR="00182708" w:rsidRPr="00627105">
        <w:rPr>
          <w:sz w:val="20"/>
          <w:szCs w:val="20"/>
        </w:rPr>
        <w:t>Note, t</w:t>
      </w:r>
      <w:r w:rsidR="00DD7460" w:rsidRPr="00627105">
        <w:rPr>
          <w:sz w:val="20"/>
          <w:szCs w:val="20"/>
        </w:rPr>
        <w:t xml:space="preserve">hese values will not match values in Table 2, as TFs in this table are for PFOS and TFs in Table 2 are based on PFOS + </w:t>
      </w:r>
      <w:proofErr w:type="spellStart"/>
      <w:r w:rsidR="00DD7460" w:rsidRPr="00627105">
        <w:rPr>
          <w:sz w:val="20"/>
          <w:szCs w:val="20"/>
        </w:rPr>
        <w:t>PFHxS</w:t>
      </w:r>
      <w:proofErr w:type="spellEnd"/>
      <w:r w:rsidR="00DD7460" w:rsidRPr="00627105">
        <w:rPr>
          <w:sz w:val="20"/>
          <w:szCs w:val="20"/>
        </w:rPr>
        <w:t xml:space="preserve">. </w:t>
      </w:r>
    </w:p>
    <w:p w14:paraId="554986A4" w14:textId="6C9D9842" w:rsidR="004C25C0" w:rsidRPr="00627105" w:rsidRDefault="004C25C0" w:rsidP="004C25C0">
      <w:pPr>
        <w:pStyle w:val="Normalsmall"/>
        <w:spacing w:after="60"/>
        <w:rPr>
          <w:sz w:val="20"/>
          <w:szCs w:val="20"/>
        </w:rPr>
      </w:pPr>
      <w:r w:rsidRPr="00627105">
        <w:rPr>
          <w:sz w:val="20"/>
          <w:szCs w:val="20"/>
          <w:vertAlign w:val="superscript"/>
        </w:rPr>
        <w:t xml:space="preserve">a </w:t>
      </w:r>
      <w:r w:rsidRPr="00627105">
        <w:rPr>
          <w:sz w:val="20"/>
          <w:szCs w:val="20"/>
        </w:rPr>
        <w:t>Moisture contents from Gebhardt and Thomas 2002, except potato and chicory data from USDA 2018 and values marked with * were from Blaine et al. (2014) where they measured the moisture content of their produce.</w:t>
      </w:r>
    </w:p>
    <w:p w14:paraId="57F76E3C" w14:textId="5CBBD788" w:rsidR="00567B7F" w:rsidRPr="00627105" w:rsidRDefault="004C25C0" w:rsidP="004C25C0">
      <w:pPr>
        <w:pStyle w:val="Normalsmall"/>
        <w:spacing w:after="60"/>
        <w:rPr>
          <w:sz w:val="20"/>
          <w:szCs w:val="20"/>
        </w:rPr>
      </w:pPr>
      <w:r w:rsidRPr="004636DE">
        <w:rPr>
          <w:sz w:val="20"/>
          <w:szCs w:val="20"/>
          <w:vertAlign w:val="superscript"/>
        </w:rPr>
        <w:t>b</w:t>
      </w:r>
      <w:r w:rsidRPr="00627105">
        <w:rPr>
          <w:sz w:val="20"/>
          <w:szCs w:val="20"/>
        </w:rPr>
        <w:t xml:space="preserve"> </w:t>
      </w:r>
      <w:r w:rsidR="00567B7F" w:rsidRPr="00627105">
        <w:rPr>
          <w:sz w:val="20"/>
          <w:szCs w:val="20"/>
        </w:rPr>
        <w:t>Additional published literature and TFs since last review of PFOS TFs in OEH 2019.</w:t>
      </w:r>
      <w:r w:rsidR="00B11D37" w:rsidRPr="00627105">
        <w:rPr>
          <w:sz w:val="20"/>
          <w:szCs w:val="20"/>
        </w:rPr>
        <w:t xml:space="preserve"> </w:t>
      </w:r>
    </w:p>
    <w:p w14:paraId="41C6722A" w14:textId="77777777" w:rsidR="002D3155" w:rsidRPr="000878D2" w:rsidRDefault="002D3155" w:rsidP="00567B7F">
      <w:pPr>
        <w:pStyle w:val="Normalsmall"/>
        <w:rPr>
          <w:sz w:val="20"/>
          <w:szCs w:val="20"/>
          <w:lang w:eastAsia="ja-JP"/>
        </w:rPr>
      </w:pPr>
    </w:p>
    <w:p w14:paraId="2EE7849E" w14:textId="1A7D4072" w:rsidR="00567B7F" w:rsidRDefault="009153D9" w:rsidP="009153D9">
      <w:pPr>
        <w:pStyle w:val="Heading5"/>
        <w:rPr>
          <w:lang w:eastAsia="ja-JP"/>
        </w:rPr>
      </w:pPr>
      <w:proofErr w:type="spellStart"/>
      <w:r>
        <w:rPr>
          <w:lang w:eastAsia="ja-JP"/>
        </w:rPr>
        <w:lastRenderedPageBreak/>
        <w:t>PFHxS</w:t>
      </w:r>
      <w:proofErr w:type="spellEnd"/>
      <w:r>
        <w:rPr>
          <w:lang w:eastAsia="ja-JP"/>
        </w:rPr>
        <w:t xml:space="preserve"> TFs</w:t>
      </w:r>
    </w:p>
    <w:p w14:paraId="2D63F731" w14:textId="757276F3" w:rsidR="009153D9" w:rsidRPr="003061C9" w:rsidRDefault="009153D9" w:rsidP="00661BBA">
      <w:pPr>
        <w:rPr>
          <w:color w:val="000000" w:themeColor="text1"/>
        </w:rPr>
      </w:pPr>
      <w:r>
        <w:t xml:space="preserve">FSANZ (2017) conservatively advises that the toxicity of </w:t>
      </w:r>
      <w:proofErr w:type="spellStart"/>
      <w:r>
        <w:t>PFHxS</w:t>
      </w:r>
      <w:proofErr w:type="spellEnd"/>
      <w:r>
        <w:t xml:space="preserve"> should be considered equivalent to PFOS. Therefore, the human health soil criteria for PFOS applies to the sum of PFOS and </w:t>
      </w:r>
      <w:proofErr w:type="spellStart"/>
      <w:r>
        <w:t>PFHxS</w:t>
      </w:r>
      <w:proofErr w:type="spellEnd"/>
      <w:r>
        <w:t xml:space="preserve"> soil concentrations. A review of the </w:t>
      </w:r>
      <w:proofErr w:type="spellStart"/>
      <w:r>
        <w:t>PFHxS</w:t>
      </w:r>
      <w:proofErr w:type="spellEnd"/>
      <w:r>
        <w:t xml:space="preserve"> transfer factors </w:t>
      </w:r>
      <w:r w:rsidR="00525E3A">
        <w:t xml:space="preserve">from soil to plants </w:t>
      </w:r>
      <w:r>
        <w:t xml:space="preserve">was conducted for NEMP 2.0 and is presented in OEH 2019. </w:t>
      </w:r>
    </w:p>
    <w:p w14:paraId="6F0EDD21" w14:textId="77777777" w:rsidR="009153D9" w:rsidRDefault="009153D9" w:rsidP="00661BBA">
      <w:pPr>
        <w:rPr>
          <w:color w:val="000000" w:themeColor="text1"/>
        </w:rPr>
      </w:pPr>
      <w:r>
        <w:t>Briefly, the outcomes of the OEH 2019 review were the following:</w:t>
      </w:r>
    </w:p>
    <w:p w14:paraId="28461C06" w14:textId="07E68973" w:rsidR="009153D9" w:rsidRPr="0097496E" w:rsidRDefault="009153D9" w:rsidP="0097496E">
      <w:pPr>
        <w:pStyle w:val="ListBullet"/>
      </w:pPr>
      <w:r w:rsidRPr="0097496E">
        <w:t xml:space="preserve">Identified studies with data on uptake of </w:t>
      </w:r>
      <w:proofErr w:type="spellStart"/>
      <w:r w:rsidRPr="0097496E">
        <w:t>PFHxS</w:t>
      </w:r>
      <w:proofErr w:type="spellEnd"/>
      <w:r w:rsidRPr="0097496E">
        <w:t xml:space="preserve"> into edible parts of plants </w:t>
      </w:r>
      <w:r w:rsidRPr="0097496E" w:rsidDel="00CD4507">
        <w:t>(Blaine et al. 2013, Blaine et al. 2014</w:t>
      </w:r>
      <w:r w:rsidRPr="0097496E">
        <w:t xml:space="preserve"> and</w:t>
      </w:r>
      <w:r w:rsidRPr="0097496E" w:rsidDel="00CD4507">
        <w:t xml:space="preserve"> Wen et al. 2014)</w:t>
      </w:r>
      <w:r w:rsidRPr="0097496E">
        <w:t>.</w:t>
      </w:r>
      <w:r w:rsidR="002F1338" w:rsidRPr="0097496E">
        <w:t xml:space="preserve"> </w:t>
      </w:r>
      <w:proofErr w:type="spellStart"/>
      <w:r w:rsidR="002F1338" w:rsidRPr="0097496E" w:rsidDel="00CD4507">
        <w:t>Gobelius</w:t>
      </w:r>
      <w:proofErr w:type="spellEnd"/>
      <w:r w:rsidR="002F1338" w:rsidRPr="0097496E" w:rsidDel="00CD4507">
        <w:t xml:space="preserve"> et al. 2017</w:t>
      </w:r>
      <w:r w:rsidR="002F1338" w:rsidRPr="0097496E">
        <w:t xml:space="preserve"> was also identified however not included as it is on PFAS uptake into trees and not considered relevant for this assessment.</w:t>
      </w:r>
    </w:p>
    <w:p w14:paraId="24ADCE59" w14:textId="77777777" w:rsidR="009153D9" w:rsidRPr="0097496E" w:rsidRDefault="009153D9" w:rsidP="0097496E">
      <w:pPr>
        <w:pStyle w:val="ListBullet"/>
      </w:pPr>
      <w:r w:rsidRPr="0097496E">
        <w:t>Identified studies with data for non-edible parts of plants (</w:t>
      </w:r>
      <w:proofErr w:type="spellStart"/>
      <w:r w:rsidRPr="0097496E" w:rsidDel="00CD4507">
        <w:t>Bräunig</w:t>
      </w:r>
      <w:proofErr w:type="spellEnd"/>
      <w:r w:rsidRPr="0097496E" w:rsidDel="00CD4507">
        <w:t xml:space="preserve"> et al. 2018, </w:t>
      </w:r>
      <w:proofErr w:type="spellStart"/>
      <w:r w:rsidRPr="0097496E" w:rsidDel="00CD4507">
        <w:t>Moshfeghi</w:t>
      </w:r>
      <w:proofErr w:type="spellEnd"/>
      <w:r w:rsidRPr="0097496E" w:rsidDel="00CD4507">
        <w:t xml:space="preserve"> 2015</w:t>
      </w:r>
      <w:r w:rsidRPr="0097496E">
        <w:t xml:space="preserve"> and </w:t>
      </w:r>
      <w:r w:rsidRPr="0097496E" w:rsidDel="00CD4507">
        <w:t>Zhao et al. 2014)</w:t>
      </w:r>
      <w:r w:rsidRPr="0097496E">
        <w:t>.</w:t>
      </w:r>
    </w:p>
    <w:p w14:paraId="3AD200B4" w14:textId="77777777" w:rsidR="009153D9" w:rsidRPr="0097496E" w:rsidRDefault="009153D9" w:rsidP="0097496E">
      <w:pPr>
        <w:pStyle w:val="ListBullet"/>
      </w:pPr>
      <w:proofErr w:type="spellStart"/>
      <w:r w:rsidRPr="0097496E">
        <w:t>PFHxS</w:t>
      </w:r>
      <w:proofErr w:type="spellEnd"/>
      <w:r w:rsidRPr="0097496E">
        <w:t xml:space="preserve"> TFs were consistently higher than TFs of PFOS.</w:t>
      </w:r>
    </w:p>
    <w:p w14:paraId="2571C119" w14:textId="3FC0C9FA" w:rsidR="009153D9" w:rsidRDefault="009153D9" w:rsidP="004636DE">
      <w:r>
        <w:t xml:space="preserve">There was insufficient data from published literature to derive reliable </w:t>
      </w:r>
      <w:proofErr w:type="spellStart"/>
      <w:r>
        <w:t>PFHxS</w:t>
      </w:r>
      <w:proofErr w:type="spellEnd"/>
      <w:r>
        <w:t xml:space="preserve"> TFs for all plant categories in the HILs calculator (NEPC 2013). For example, no data on </w:t>
      </w:r>
      <w:proofErr w:type="spellStart"/>
      <w:r>
        <w:t>PFHxS</w:t>
      </w:r>
      <w:proofErr w:type="spellEnd"/>
      <w:r>
        <w:t xml:space="preserve"> uptake into tuber vegetables was found. Therefore, available relevant data from the six studies listed above were compiled to calculate the ratio between the TFs for </w:t>
      </w:r>
      <w:proofErr w:type="spellStart"/>
      <w:r>
        <w:t>PFHxS</w:t>
      </w:r>
      <w:proofErr w:type="spellEnd"/>
      <w:r>
        <w:t xml:space="preserve"> and PFOS (</w:t>
      </w:r>
      <w:r w:rsidRPr="00DA5164">
        <w:t xml:space="preserve">see </w:t>
      </w:r>
      <w:r w:rsidR="004E6B12">
        <w:fldChar w:fldCharType="begin"/>
      </w:r>
      <w:r w:rsidR="004E6B12">
        <w:instrText xml:space="preserve"> REF _Ref112679122 \h </w:instrText>
      </w:r>
      <w:r w:rsidR="004E6B12">
        <w:fldChar w:fldCharType="separate"/>
      </w:r>
      <w:r w:rsidR="004E6B12">
        <w:t>Table A</w:t>
      </w:r>
      <w:r w:rsidR="004E6B12">
        <w:rPr>
          <w:noProof/>
        </w:rPr>
        <w:t>2</w:t>
      </w:r>
      <w:r w:rsidR="004E6B12">
        <w:fldChar w:fldCharType="end"/>
      </w:r>
      <w:r w:rsidRPr="00DA5164">
        <w:t>).</w:t>
      </w:r>
      <w:r>
        <w:t xml:space="preserve"> The ratios between </w:t>
      </w:r>
      <w:proofErr w:type="spellStart"/>
      <w:r>
        <w:t>PFHxS</w:t>
      </w:r>
      <w:proofErr w:type="spellEnd"/>
      <w:r>
        <w:t xml:space="preserve"> and PFOS TFs ranged from 1.2 to 25 and the geometric mean of the maximum TFs for each plant species was used as an overall ratio to allow PFOS TFs to be converted to PFOS + </w:t>
      </w:r>
      <w:proofErr w:type="spellStart"/>
      <w:r>
        <w:t>PFHxS</w:t>
      </w:r>
      <w:proofErr w:type="spellEnd"/>
      <w:r>
        <w:t xml:space="preserve"> TFs. The geometric mean was 6.9 (OEH 2019). For the review in 2021 for NEMP 3.0, TFs for </w:t>
      </w:r>
      <w:proofErr w:type="spellStart"/>
      <w:r>
        <w:t>PFHxS</w:t>
      </w:r>
      <w:proofErr w:type="spellEnd"/>
      <w:r>
        <w:t xml:space="preserve"> were extracted from the papers assessed for PFOA and included in </w:t>
      </w:r>
      <w:r w:rsidR="004E6B12">
        <w:fldChar w:fldCharType="begin"/>
      </w:r>
      <w:r w:rsidR="004E6B12">
        <w:instrText xml:space="preserve"> REF _Ref112679122 \h </w:instrText>
      </w:r>
      <w:r w:rsidR="004E6B12">
        <w:fldChar w:fldCharType="separate"/>
      </w:r>
      <w:r w:rsidR="004E6B12">
        <w:t>Table A</w:t>
      </w:r>
      <w:r w:rsidR="004E6B12">
        <w:rPr>
          <w:noProof/>
        </w:rPr>
        <w:t>2</w:t>
      </w:r>
      <w:r w:rsidR="004E6B12">
        <w:fldChar w:fldCharType="end"/>
      </w:r>
      <w:r w:rsidRPr="00DA5164">
        <w:t>.</w:t>
      </w:r>
      <w:r>
        <w:t xml:space="preserve"> These </w:t>
      </w:r>
      <w:proofErr w:type="spellStart"/>
      <w:r>
        <w:t>PFHxS</w:t>
      </w:r>
      <w:proofErr w:type="spellEnd"/>
      <w:r>
        <w:t xml:space="preserve"> TFs were found to fall within the range previously determined in OEH 2019 and the multiplier of 6.9 was retained for the combined PFOS + </w:t>
      </w:r>
      <w:proofErr w:type="spellStart"/>
      <w:r>
        <w:t>PFHxS</w:t>
      </w:r>
      <w:proofErr w:type="spellEnd"/>
      <w:r>
        <w:t xml:space="preserve"> TF derivation.</w:t>
      </w:r>
    </w:p>
    <w:p w14:paraId="469ADBA8" w14:textId="73453BDE" w:rsidR="009153D9" w:rsidRPr="002F1338" w:rsidRDefault="009153D9" w:rsidP="004E6B12">
      <w:r>
        <w:t xml:space="preserve">A combined PFOS + </w:t>
      </w:r>
      <w:proofErr w:type="spellStart"/>
      <w:r>
        <w:t>PFHxS</w:t>
      </w:r>
      <w:proofErr w:type="spellEnd"/>
      <w:r>
        <w:t xml:space="preserve"> TF for each plant category can be calculated using Equation A1, which assumes equal proportions of PFOS and </w:t>
      </w:r>
      <w:proofErr w:type="spellStart"/>
      <w:r>
        <w:t>PFHxS</w:t>
      </w:r>
      <w:proofErr w:type="spellEnd"/>
      <w:r>
        <w:t xml:space="preserve"> in the soil. In cases where either PFOS or </w:t>
      </w:r>
      <w:proofErr w:type="spellStart"/>
      <w:r>
        <w:t>PFHxS</w:t>
      </w:r>
      <w:proofErr w:type="spellEnd"/>
      <w:r>
        <w:t xml:space="preserve"> dominate concentrations, site-specific assessment could be used to provide a refined estimate of risk. This can be done by changing the proportions in </w:t>
      </w:r>
      <w:r w:rsidR="004E6B12">
        <w:fldChar w:fldCharType="begin"/>
      </w:r>
      <w:r w:rsidR="004E6B12">
        <w:instrText xml:space="preserve"> REF _Ref112678989 \h </w:instrText>
      </w:r>
      <w:r w:rsidR="004E6B12">
        <w:fldChar w:fldCharType="separate"/>
      </w:r>
      <w:r w:rsidR="004E6B12">
        <w:t>Equation A</w:t>
      </w:r>
      <w:r w:rsidR="004E6B12">
        <w:rPr>
          <w:noProof/>
        </w:rPr>
        <w:t>1</w:t>
      </w:r>
      <w:r w:rsidR="004E6B12">
        <w:fldChar w:fldCharType="end"/>
      </w:r>
      <w:r>
        <w:t xml:space="preserve">. Combined TFs for PFOS + </w:t>
      </w:r>
      <w:proofErr w:type="spellStart"/>
      <w:r>
        <w:t>PFHxS</w:t>
      </w:r>
      <w:proofErr w:type="spellEnd"/>
      <w:r>
        <w:t xml:space="preserve"> are listed in </w:t>
      </w:r>
      <w:r w:rsidR="006E6194">
        <w:fldChar w:fldCharType="begin"/>
      </w:r>
      <w:r w:rsidR="006E6194">
        <w:instrText xml:space="preserve"> REF _Ref112679192 \h </w:instrText>
      </w:r>
      <w:r w:rsidR="006E6194">
        <w:fldChar w:fldCharType="separate"/>
      </w:r>
      <w:r w:rsidR="006E6194">
        <w:t>Table A</w:t>
      </w:r>
      <w:r w:rsidR="006E6194">
        <w:rPr>
          <w:noProof/>
        </w:rPr>
        <w:t>3</w:t>
      </w:r>
      <w:r w:rsidR="006E6194">
        <w:fldChar w:fldCharType="end"/>
      </w:r>
      <w:r w:rsidRPr="00AB1E0E">
        <w:t>.</w:t>
      </w:r>
      <w:r w:rsidR="00116EF6" w:rsidRPr="00116EF6">
        <w:t xml:space="preserve"> </w:t>
      </w:r>
    </w:p>
    <w:p w14:paraId="2CF1FF1D" w14:textId="6D51F42A" w:rsidR="004E6B12" w:rsidRDefault="004E6B12" w:rsidP="004E6B12">
      <w:pPr>
        <w:pStyle w:val="Caption"/>
      </w:pPr>
      <w:bookmarkStart w:id="37" w:name="_Ref112678989"/>
      <w:r>
        <w:t>Equation A</w:t>
      </w:r>
      <w:r w:rsidR="008D7C8F">
        <w:fldChar w:fldCharType="begin"/>
      </w:r>
      <w:r w:rsidR="008D7C8F">
        <w:instrText xml:space="preserve"> SEQ Equation_A \* ARABIC </w:instrText>
      </w:r>
      <w:r w:rsidR="008D7C8F">
        <w:fldChar w:fldCharType="separate"/>
      </w:r>
      <w:r>
        <w:rPr>
          <w:noProof/>
        </w:rPr>
        <w:t>1</w:t>
      </w:r>
      <w:r w:rsidR="008D7C8F">
        <w:rPr>
          <w:noProof/>
        </w:rPr>
        <w:fldChar w:fldCharType="end"/>
      </w:r>
      <w:bookmarkEnd w:id="37"/>
    </w:p>
    <w:p w14:paraId="3DE9A2AF" w14:textId="77777777" w:rsidR="009153D9" w:rsidRPr="00116EF6" w:rsidRDefault="002F1338" w:rsidP="00116EF6">
      <w:pPr>
        <w:pStyle w:val="BodyText"/>
        <w:tabs>
          <w:tab w:val="left" w:pos="720"/>
        </w:tabs>
        <w:spacing w:before="360" w:after="240"/>
        <w:rPr>
          <w:sz w:val="21"/>
          <w:szCs w:val="21"/>
        </w:rPr>
      </w:pPr>
      <w:r w:rsidRPr="002F1338">
        <w:rPr>
          <w:noProof/>
        </w:rPr>
        <w:drawing>
          <wp:inline distT="0" distB="0" distL="0" distR="0" wp14:anchorId="0D9848FA" wp14:editId="6899FCFA">
            <wp:extent cx="5759450" cy="304800"/>
            <wp:effectExtent l="0" t="0" r="0" b="0"/>
            <wp:docPr id="4" name="Picture 4" descr="Equation where TF PFOS plus PFHxS equals  open brackets TF PFOS multiplied by Proportion PFOS close brackets plus open brackets TF PFOS multiplied by Multiplier PFHxS multiplied by open brackets 1 minus proportion PFOS close brackets clos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quation where TF PFOS plus PFHxS equals  open brackets TF PFOS multiplied by Proportion PFOS close brackets plus open brackets TF PFOS multiplied by Multiplier PFHxS multiplied by open brackets 1 minus proportion PFOS close brackets close bracket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304800"/>
                    </a:xfrm>
                    <a:prstGeom prst="rect">
                      <a:avLst/>
                    </a:prstGeom>
                    <a:noFill/>
                    <a:ln>
                      <a:noFill/>
                    </a:ln>
                  </pic:spPr>
                </pic:pic>
              </a:graphicData>
            </a:graphic>
          </wp:inline>
        </w:drawing>
      </w:r>
    </w:p>
    <w:p w14:paraId="4712E792" w14:textId="77777777" w:rsidR="009153D9" w:rsidRPr="00971E32" w:rsidRDefault="009153D9" w:rsidP="004636DE">
      <w:pPr>
        <w:pStyle w:val="Normalsmall"/>
        <w:rPr>
          <w:sz w:val="22"/>
          <w:szCs w:val="22"/>
        </w:rPr>
      </w:pPr>
      <w:r w:rsidRPr="00971E32">
        <w:rPr>
          <w:sz w:val="22"/>
          <w:szCs w:val="22"/>
        </w:rPr>
        <w:t>where:</w:t>
      </w:r>
    </w:p>
    <w:p w14:paraId="3B4A9745" w14:textId="77777777" w:rsidR="009153D9" w:rsidRPr="00971E32" w:rsidRDefault="009153D9" w:rsidP="004636DE">
      <w:pPr>
        <w:pStyle w:val="Normalsmall"/>
        <w:rPr>
          <w:sz w:val="22"/>
          <w:szCs w:val="22"/>
        </w:rPr>
      </w:pPr>
      <w:proofErr w:type="spellStart"/>
      <w:r w:rsidRPr="00971E32">
        <w:rPr>
          <w:sz w:val="22"/>
          <w:szCs w:val="22"/>
        </w:rPr>
        <w:t>TF</w:t>
      </w:r>
      <w:r w:rsidRPr="00971E32">
        <w:rPr>
          <w:sz w:val="22"/>
          <w:szCs w:val="22"/>
          <w:vertAlign w:val="subscript"/>
        </w:rPr>
        <w:t>PFOS+PFHxS</w:t>
      </w:r>
      <w:proofErr w:type="spellEnd"/>
      <w:r w:rsidRPr="00971E32">
        <w:rPr>
          <w:sz w:val="22"/>
          <w:szCs w:val="22"/>
        </w:rPr>
        <w:t xml:space="preserve"> </w:t>
      </w:r>
      <w:r w:rsidRPr="00971E32">
        <w:rPr>
          <w:sz w:val="22"/>
          <w:szCs w:val="22"/>
        </w:rPr>
        <w:tab/>
        <w:t xml:space="preserve">= combined TF for PFOS + </w:t>
      </w:r>
      <w:proofErr w:type="spellStart"/>
      <w:r w:rsidRPr="00971E32">
        <w:rPr>
          <w:sz w:val="22"/>
          <w:szCs w:val="22"/>
        </w:rPr>
        <w:t>PFHxS</w:t>
      </w:r>
      <w:proofErr w:type="spellEnd"/>
    </w:p>
    <w:p w14:paraId="3799F3A1" w14:textId="77777777" w:rsidR="009153D9" w:rsidRPr="00971E32" w:rsidRDefault="009153D9" w:rsidP="004636DE">
      <w:pPr>
        <w:pStyle w:val="Normalsmall"/>
        <w:rPr>
          <w:sz w:val="22"/>
          <w:szCs w:val="22"/>
        </w:rPr>
      </w:pPr>
      <w:r w:rsidRPr="00971E32">
        <w:rPr>
          <w:sz w:val="22"/>
          <w:szCs w:val="22"/>
        </w:rPr>
        <w:t>TF</w:t>
      </w:r>
      <w:r w:rsidRPr="00971E32">
        <w:rPr>
          <w:sz w:val="22"/>
          <w:szCs w:val="22"/>
          <w:vertAlign w:val="subscript"/>
        </w:rPr>
        <w:t>PFOS</w:t>
      </w:r>
      <w:r w:rsidRPr="00971E32">
        <w:rPr>
          <w:sz w:val="22"/>
          <w:szCs w:val="22"/>
        </w:rPr>
        <w:tab/>
      </w:r>
      <w:r w:rsidRPr="00971E32">
        <w:rPr>
          <w:sz w:val="22"/>
          <w:szCs w:val="22"/>
        </w:rPr>
        <w:tab/>
        <w:t>= soil to plant transfer factor for PFOS (Table A1)</w:t>
      </w:r>
    </w:p>
    <w:p w14:paraId="28243EDB" w14:textId="77777777" w:rsidR="009153D9" w:rsidRPr="00971E32" w:rsidRDefault="009153D9" w:rsidP="004636DE">
      <w:pPr>
        <w:pStyle w:val="Normalsmall"/>
        <w:rPr>
          <w:sz w:val="22"/>
          <w:szCs w:val="22"/>
        </w:rPr>
      </w:pPr>
      <w:proofErr w:type="spellStart"/>
      <w:r w:rsidRPr="00971E32">
        <w:rPr>
          <w:sz w:val="22"/>
          <w:szCs w:val="22"/>
        </w:rPr>
        <w:t>Multiplier</w:t>
      </w:r>
      <w:r w:rsidRPr="00971E32">
        <w:rPr>
          <w:sz w:val="22"/>
          <w:szCs w:val="22"/>
          <w:vertAlign w:val="subscript"/>
        </w:rPr>
        <w:t>PFHxS</w:t>
      </w:r>
      <w:proofErr w:type="spellEnd"/>
      <w:r w:rsidRPr="00971E32">
        <w:rPr>
          <w:sz w:val="22"/>
          <w:szCs w:val="22"/>
        </w:rPr>
        <w:t xml:space="preserve"> </w:t>
      </w:r>
      <w:r w:rsidRPr="00971E32">
        <w:rPr>
          <w:sz w:val="22"/>
          <w:szCs w:val="22"/>
        </w:rPr>
        <w:tab/>
        <w:t xml:space="preserve">= multiplier of 6.9 based on the geometric mean of ratios between </w:t>
      </w:r>
      <w:proofErr w:type="spellStart"/>
      <w:r w:rsidRPr="00971E32">
        <w:rPr>
          <w:sz w:val="22"/>
          <w:szCs w:val="22"/>
        </w:rPr>
        <w:t>PFHxS</w:t>
      </w:r>
      <w:proofErr w:type="spellEnd"/>
      <w:r w:rsidRPr="00971E32">
        <w:rPr>
          <w:sz w:val="22"/>
          <w:szCs w:val="22"/>
        </w:rPr>
        <w:t xml:space="preserve"> and PFOS TFs (as determined in OEH 2019)</w:t>
      </w:r>
    </w:p>
    <w:p w14:paraId="6146CB53" w14:textId="535BE960" w:rsidR="00661BBA" w:rsidRPr="00971E32" w:rsidRDefault="009153D9" w:rsidP="004636DE">
      <w:pPr>
        <w:pStyle w:val="Normalsmall"/>
        <w:rPr>
          <w:sz w:val="22"/>
          <w:szCs w:val="22"/>
        </w:rPr>
      </w:pPr>
      <w:proofErr w:type="spellStart"/>
      <w:r w:rsidRPr="00971E32">
        <w:rPr>
          <w:sz w:val="22"/>
          <w:szCs w:val="22"/>
        </w:rPr>
        <w:t>Proportion</w:t>
      </w:r>
      <w:r w:rsidRPr="00971E32">
        <w:rPr>
          <w:sz w:val="22"/>
          <w:szCs w:val="22"/>
          <w:vertAlign w:val="subscript"/>
        </w:rPr>
        <w:t>PFOS</w:t>
      </w:r>
      <w:proofErr w:type="spellEnd"/>
      <w:r w:rsidRPr="00971E32">
        <w:rPr>
          <w:sz w:val="22"/>
          <w:szCs w:val="22"/>
        </w:rPr>
        <w:t xml:space="preserve"> = 0.5 assuming equal proportions of PFOS and </w:t>
      </w:r>
      <w:proofErr w:type="spellStart"/>
      <w:r w:rsidRPr="00971E32">
        <w:rPr>
          <w:sz w:val="22"/>
          <w:szCs w:val="22"/>
        </w:rPr>
        <w:t>PFHxS</w:t>
      </w:r>
      <w:proofErr w:type="spellEnd"/>
    </w:p>
    <w:p w14:paraId="3CB679E3" w14:textId="0AE43563" w:rsidR="00FB6CFC" w:rsidRDefault="004E6B12" w:rsidP="00FB6CFC">
      <w:pPr>
        <w:pStyle w:val="Caption"/>
      </w:pPr>
      <w:bookmarkStart w:id="38" w:name="_Ref112679122"/>
      <w:bookmarkStart w:id="39" w:name="_Toc113611831"/>
      <w:r>
        <w:lastRenderedPageBreak/>
        <w:t>Table A</w:t>
      </w:r>
      <w:r w:rsidR="008D7C8F">
        <w:fldChar w:fldCharType="begin"/>
      </w:r>
      <w:r w:rsidR="008D7C8F">
        <w:instrText xml:space="preserve"> SEQ Table_A \* ARABIC </w:instrText>
      </w:r>
      <w:r w:rsidR="008D7C8F">
        <w:fldChar w:fldCharType="separate"/>
      </w:r>
      <w:r w:rsidR="006E6194">
        <w:rPr>
          <w:noProof/>
        </w:rPr>
        <w:t>2</w:t>
      </w:r>
      <w:r w:rsidR="008D7C8F">
        <w:rPr>
          <w:noProof/>
        </w:rPr>
        <w:fldChar w:fldCharType="end"/>
      </w:r>
      <w:bookmarkEnd w:id="38"/>
      <w:r>
        <w:t xml:space="preserve"> </w:t>
      </w:r>
      <w:r w:rsidR="00FB6CFC" w:rsidRPr="00F86540">
        <w:t xml:space="preserve">The ratio of </w:t>
      </w:r>
      <w:proofErr w:type="spellStart"/>
      <w:r w:rsidR="00FB6CFC" w:rsidRPr="00F86540">
        <w:t>PFHxS</w:t>
      </w:r>
      <w:proofErr w:type="spellEnd"/>
      <w:r w:rsidR="00FB6CFC" w:rsidRPr="00F86540">
        <w:t xml:space="preserve"> to PFOS TFs based on available </w:t>
      </w:r>
      <w:proofErr w:type="spellStart"/>
      <w:r w:rsidR="00FB6CFC" w:rsidRPr="00F86540">
        <w:t>PFHxS</w:t>
      </w:r>
      <w:proofErr w:type="spellEnd"/>
      <w:r w:rsidR="00FB6CFC" w:rsidRPr="00F86540">
        <w:t xml:space="preserve"> and PFOS soil to plant transfer factors for ASC NEPM plant categories.</w:t>
      </w:r>
      <w:bookmarkEnd w:id="39"/>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The ratio of PFHxS to PFOS TFs based on available PFHxS and PFOS soil to plant transfer factors for ASC NEPM plant categories."/>
        <w:tblDescription w:val="Table showing PFHxS and PFOS transfer factors for a variety of plants. Of all the plants shown, radish shoots had the highest transfer factors for both PFHxS and PFOS."/>
      </w:tblPr>
      <w:tblGrid>
        <w:gridCol w:w="1039"/>
        <w:gridCol w:w="1663"/>
        <w:gridCol w:w="1663"/>
        <w:gridCol w:w="1663"/>
        <w:gridCol w:w="1060"/>
        <w:gridCol w:w="721"/>
        <w:gridCol w:w="1261"/>
      </w:tblGrid>
      <w:tr w:rsidR="00661BBA" w14:paraId="0F5B28C1" w14:textId="77777777" w:rsidTr="00F0584D">
        <w:trPr>
          <w:tblHeader/>
        </w:trPr>
        <w:tc>
          <w:tcPr>
            <w:tcW w:w="0" w:type="auto"/>
          </w:tcPr>
          <w:p w14:paraId="73DA9B41" w14:textId="77777777" w:rsidR="00661BBA" w:rsidRDefault="00661BBA" w:rsidP="00661BBA">
            <w:pPr>
              <w:pStyle w:val="TableHeading"/>
            </w:pPr>
            <w:r>
              <w:t>Group</w:t>
            </w:r>
          </w:p>
        </w:tc>
        <w:tc>
          <w:tcPr>
            <w:tcW w:w="0" w:type="auto"/>
            <w:tcMar>
              <w:left w:w="108" w:type="dxa"/>
              <w:right w:w="108" w:type="dxa"/>
            </w:tcMar>
          </w:tcPr>
          <w:p w14:paraId="2483004E" w14:textId="77777777" w:rsidR="00661BBA" w:rsidRDefault="00661BBA" w:rsidP="00661BBA">
            <w:pPr>
              <w:pStyle w:val="TableHeading"/>
            </w:pPr>
            <w:r>
              <w:t>Plant</w:t>
            </w:r>
          </w:p>
        </w:tc>
        <w:tc>
          <w:tcPr>
            <w:tcW w:w="0" w:type="auto"/>
            <w:tcMar>
              <w:left w:w="108" w:type="dxa"/>
              <w:right w:w="108" w:type="dxa"/>
            </w:tcMar>
          </w:tcPr>
          <w:p w14:paraId="50AF7532" w14:textId="1AB91672" w:rsidR="00661BBA" w:rsidRDefault="00661BBA" w:rsidP="00661BBA">
            <w:pPr>
              <w:pStyle w:val="TableHeading"/>
            </w:pPr>
            <w:proofErr w:type="spellStart"/>
            <w:r>
              <w:t>PF</w:t>
            </w:r>
            <w:r w:rsidR="004F5352">
              <w:t>Hx</w:t>
            </w:r>
            <w:r>
              <w:t>S</w:t>
            </w:r>
            <w:proofErr w:type="spellEnd"/>
            <w:r>
              <w:t xml:space="preserve"> TF</w:t>
            </w:r>
          </w:p>
        </w:tc>
        <w:tc>
          <w:tcPr>
            <w:tcW w:w="0" w:type="auto"/>
            <w:tcMar>
              <w:left w:w="108" w:type="dxa"/>
              <w:right w:w="108" w:type="dxa"/>
            </w:tcMar>
          </w:tcPr>
          <w:p w14:paraId="762FD63A" w14:textId="1C65DBF9" w:rsidR="00661BBA" w:rsidRDefault="00661BBA" w:rsidP="00661BBA">
            <w:pPr>
              <w:pStyle w:val="TableHeading"/>
            </w:pPr>
            <w:r>
              <w:t>PFOS TF</w:t>
            </w:r>
          </w:p>
        </w:tc>
        <w:tc>
          <w:tcPr>
            <w:tcW w:w="0" w:type="auto"/>
            <w:tcMar>
              <w:left w:w="108" w:type="dxa"/>
              <w:right w:w="108" w:type="dxa"/>
            </w:tcMar>
          </w:tcPr>
          <w:p w14:paraId="243A71D2" w14:textId="499EC803" w:rsidR="00661BBA" w:rsidRDefault="00661BBA" w:rsidP="00661BBA">
            <w:pPr>
              <w:pStyle w:val="TableHeading"/>
            </w:pPr>
            <w:r w:rsidRPr="00325B0D">
              <w:rPr>
                <w:bCs/>
                <w:sz w:val="20"/>
                <w:szCs w:val="20"/>
              </w:rPr>
              <w:t>TF in DW o</w:t>
            </w:r>
            <w:r w:rsidR="004F5352">
              <w:rPr>
                <w:bCs/>
                <w:sz w:val="20"/>
                <w:szCs w:val="20"/>
              </w:rPr>
              <w:t xml:space="preserve">r </w:t>
            </w:r>
            <w:r w:rsidRPr="00325B0D">
              <w:rPr>
                <w:bCs/>
                <w:sz w:val="20"/>
                <w:szCs w:val="20"/>
              </w:rPr>
              <w:t>WW</w:t>
            </w:r>
          </w:p>
        </w:tc>
        <w:tc>
          <w:tcPr>
            <w:tcW w:w="0" w:type="auto"/>
          </w:tcPr>
          <w:p w14:paraId="712D5DC7" w14:textId="666CF370" w:rsidR="00661BBA" w:rsidRPr="00C74E4C" w:rsidRDefault="00661BBA" w:rsidP="00661BBA">
            <w:pPr>
              <w:pStyle w:val="TableHeading"/>
              <w:rPr>
                <w:vertAlign w:val="superscript"/>
              </w:rPr>
            </w:pPr>
            <w:r w:rsidRPr="00325B0D">
              <w:rPr>
                <w:bCs/>
                <w:sz w:val="20"/>
                <w:szCs w:val="20"/>
              </w:rPr>
              <w:t>Ratio TFs</w:t>
            </w:r>
          </w:p>
        </w:tc>
        <w:tc>
          <w:tcPr>
            <w:tcW w:w="0" w:type="auto"/>
          </w:tcPr>
          <w:p w14:paraId="747388FC" w14:textId="07048220" w:rsidR="00661BBA" w:rsidRDefault="00661BBA" w:rsidP="00661BBA">
            <w:pPr>
              <w:pStyle w:val="TableHeading"/>
            </w:pPr>
            <w:r w:rsidRPr="00325B0D">
              <w:rPr>
                <w:bCs/>
                <w:sz w:val="20"/>
                <w:szCs w:val="20"/>
              </w:rPr>
              <w:t>Study</w:t>
            </w:r>
          </w:p>
        </w:tc>
      </w:tr>
      <w:tr w:rsidR="00FB6CFC" w14:paraId="663599F1" w14:textId="77777777" w:rsidTr="00F0584D">
        <w:trPr>
          <w:tblHeader/>
        </w:trPr>
        <w:tc>
          <w:tcPr>
            <w:tcW w:w="0" w:type="auto"/>
          </w:tcPr>
          <w:p w14:paraId="740AFDCF" w14:textId="77777777" w:rsidR="00661BBA" w:rsidRDefault="00661BBA" w:rsidP="00DB23E4">
            <w:pPr>
              <w:pStyle w:val="TableHeading"/>
            </w:pPr>
          </w:p>
        </w:tc>
        <w:tc>
          <w:tcPr>
            <w:tcW w:w="0" w:type="auto"/>
            <w:tcMar>
              <w:left w:w="108" w:type="dxa"/>
              <w:right w:w="108" w:type="dxa"/>
            </w:tcMar>
          </w:tcPr>
          <w:p w14:paraId="64B7E662" w14:textId="77777777" w:rsidR="00661BBA" w:rsidRDefault="00661BBA" w:rsidP="00DB23E4">
            <w:pPr>
              <w:pStyle w:val="TableHeading"/>
            </w:pPr>
          </w:p>
        </w:tc>
        <w:tc>
          <w:tcPr>
            <w:tcW w:w="0" w:type="auto"/>
            <w:tcMar>
              <w:left w:w="108" w:type="dxa"/>
              <w:right w:w="108" w:type="dxa"/>
            </w:tcMar>
          </w:tcPr>
          <w:p w14:paraId="7E0E24ED" w14:textId="4E5A53DC" w:rsidR="00661BBA" w:rsidRPr="00FB6CFC" w:rsidRDefault="00661BBA" w:rsidP="00FB6CFC">
            <w:pPr>
              <w:pStyle w:val="TableHeading"/>
            </w:pPr>
            <w:r w:rsidRPr="00FB6CFC">
              <w:t>(mg/</w:t>
            </w:r>
            <w:proofErr w:type="spellStart"/>
            <w:r w:rsidRPr="00FB6CFC">
              <w:t>kg</w:t>
            </w:r>
            <w:r w:rsidRPr="004636DE">
              <w:rPr>
                <w:vertAlign w:val="subscript"/>
              </w:rPr>
              <w:t>plant</w:t>
            </w:r>
            <w:proofErr w:type="spellEnd"/>
            <w:r w:rsidRPr="00FB6CFC">
              <w:t>)/ (mg/</w:t>
            </w:r>
            <w:proofErr w:type="spellStart"/>
            <w:r w:rsidRPr="00FB6CFC">
              <w:t>kg</w:t>
            </w:r>
            <w:r w:rsidRPr="004636DE">
              <w:rPr>
                <w:vertAlign w:val="subscript"/>
              </w:rPr>
              <w:t>soil</w:t>
            </w:r>
            <w:proofErr w:type="spellEnd"/>
            <w:r w:rsidRPr="00FB6CFC">
              <w:t>)</w:t>
            </w:r>
          </w:p>
        </w:tc>
        <w:tc>
          <w:tcPr>
            <w:tcW w:w="0" w:type="auto"/>
            <w:tcMar>
              <w:left w:w="108" w:type="dxa"/>
              <w:right w:w="108" w:type="dxa"/>
            </w:tcMar>
          </w:tcPr>
          <w:p w14:paraId="7FAB8471" w14:textId="782065BA" w:rsidR="00661BBA" w:rsidRPr="00FB6CFC" w:rsidRDefault="00661BBA" w:rsidP="00FB6CFC">
            <w:pPr>
              <w:pStyle w:val="TableHeading"/>
            </w:pPr>
            <w:r w:rsidRPr="00FB6CFC">
              <w:t>(mg/</w:t>
            </w:r>
            <w:proofErr w:type="spellStart"/>
            <w:r w:rsidRPr="00FB6CFC">
              <w:t>kg</w:t>
            </w:r>
            <w:r w:rsidRPr="004636DE">
              <w:rPr>
                <w:vertAlign w:val="subscript"/>
              </w:rPr>
              <w:t>plant</w:t>
            </w:r>
            <w:proofErr w:type="spellEnd"/>
            <w:r w:rsidRPr="00FB6CFC">
              <w:t>)/ (mg/</w:t>
            </w:r>
            <w:proofErr w:type="spellStart"/>
            <w:r w:rsidRPr="00FB6CFC">
              <w:t>kg</w:t>
            </w:r>
            <w:r w:rsidRPr="004636DE">
              <w:rPr>
                <w:vertAlign w:val="subscript"/>
              </w:rPr>
              <w:t>soil</w:t>
            </w:r>
            <w:proofErr w:type="spellEnd"/>
            <w:r w:rsidRPr="00FB6CFC">
              <w:t>)</w:t>
            </w:r>
          </w:p>
        </w:tc>
        <w:tc>
          <w:tcPr>
            <w:tcW w:w="0" w:type="auto"/>
            <w:tcMar>
              <w:left w:w="108" w:type="dxa"/>
              <w:right w:w="108" w:type="dxa"/>
            </w:tcMar>
          </w:tcPr>
          <w:p w14:paraId="7204D610" w14:textId="77777777" w:rsidR="00661BBA" w:rsidRDefault="00661BBA" w:rsidP="00DB23E4">
            <w:pPr>
              <w:pStyle w:val="TableHeading"/>
            </w:pPr>
          </w:p>
        </w:tc>
        <w:tc>
          <w:tcPr>
            <w:tcW w:w="0" w:type="auto"/>
          </w:tcPr>
          <w:p w14:paraId="3E951D1F" w14:textId="77777777" w:rsidR="00661BBA" w:rsidRDefault="00661BBA" w:rsidP="00DB23E4">
            <w:pPr>
              <w:pStyle w:val="TableHeading"/>
            </w:pPr>
          </w:p>
        </w:tc>
        <w:tc>
          <w:tcPr>
            <w:tcW w:w="0" w:type="auto"/>
          </w:tcPr>
          <w:p w14:paraId="798B0B18" w14:textId="77777777" w:rsidR="00661BBA" w:rsidRDefault="00661BBA" w:rsidP="00DB23E4">
            <w:pPr>
              <w:pStyle w:val="TableHeading"/>
            </w:pPr>
          </w:p>
        </w:tc>
      </w:tr>
      <w:tr w:rsidR="00FB6CFC" w14:paraId="75970D2E" w14:textId="77777777" w:rsidTr="00F0584D">
        <w:tc>
          <w:tcPr>
            <w:tcW w:w="0" w:type="auto"/>
            <w:vMerge w:val="restart"/>
          </w:tcPr>
          <w:p w14:paraId="37373BAC" w14:textId="77777777" w:rsidR="00661BBA" w:rsidRPr="00DA71B8" w:rsidRDefault="00661BBA" w:rsidP="00661BBA">
            <w:pPr>
              <w:pStyle w:val="TableText0"/>
            </w:pPr>
            <w:r>
              <w:t xml:space="preserve">Green Vegetable </w:t>
            </w:r>
          </w:p>
        </w:tc>
        <w:tc>
          <w:tcPr>
            <w:tcW w:w="0" w:type="auto"/>
            <w:tcMar>
              <w:left w:w="108" w:type="dxa"/>
              <w:right w:w="108" w:type="dxa"/>
            </w:tcMar>
          </w:tcPr>
          <w:p w14:paraId="5CF8FADE" w14:textId="784B6E49" w:rsidR="00661BBA" w:rsidRDefault="00661BBA" w:rsidP="00661BBA">
            <w:pPr>
              <w:pStyle w:val="TableText0"/>
            </w:pPr>
            <w:r w:rsidRPr="00325B0D">
              <w:rPr>
                <w:rFonts w:cstheme="minorHAnsi"/>
                <w:sz w:val="20"/>
                <w:szCs w:val="20"/>
              </w:rPr>
              <w:t>Lettuce</w:t>
            </w:r>
          </w:p>
        </w:tc>
        <w:tc>
          <w:tcPr>
            <w:tcW w:w="0" w:type="auto"/>
            <w:tcMar>
              <w:left w:w="108" w:type="dxa"/>
              <w:right w:w="108" w:type="dxa"/>
            </w:tcMar>
          </w:tcPr>
          <w:p w14:paraId="56BCF821" w14:textId="34352C9D" w:rsidR="00661BBA" w:rsidRDefault="00661BBA" w:rsidP="00661BBA">
            <w:pPr>
              <w:pStyle w:val="TableText0"/>
            </w:pPr>
            <w:r w:rsidRPr="00325B0D">
              <w:rPr>
                <w:rFonts w:cstheme="minorHAnsi"/>
                <w:sz w:val="20"/>
                <w:szCs w:val="20"/>
              </w:rPr>
              <w:t>1.1 – 7.6</w:t>
            </w:r>
          </w:p>
        </w:tc>
        <w:tc>
          <w:tcPr>
            <w:tcW w:w="0" w:type="auto"/>
            <w:tcMar>
              <w:left w:w="108" w:type="dxa"/>
              <w:right w:w="108" w:type="dxa"/>
            </w:tcMar>
          </w:tcPr>
          <w:p w14:paraId="2A87EFE4" w14:textId="6DFE1BC8" w:rsidR="00661BBA" w:rsidRDefault="00661BBA" w:rsidP="00661BBA">
            <w:pPr>
              <w:pStyle w:val="TableText0"/>
            </w:pPr>
            <w:r w:rsidRPr="00325B0D">
              <w:rPr>
                <w:rFonts w:cstheme="minorHAnsi"/>
                <w:sz w:val="20"/>
                <w:szCs w:val="20"/>
              </w:rPr>
              <w:t>0.1 – 1.7</w:t>
            </w:r>
          </w:p>
        </w:tc>
        <w:tc>
          <w:tcPr>
            <w:tcW w:w="0" w:type="auto"/>
            <w:tcMar>
              <w:left w:w="108" w:type="dxa"/>
              <w:right w:w="108" w:type="dxa"/>
            </w:tcMar>
          </w:tcPr>
          <w:p w14:paraId="3C0AD8DE" w14:textId="75EF55F5" w:rsidR="00661BBA" w:rsidRDefault="00661BBA" w:rsidP="00661BBA">
            <w:pPr>
              <w:pStyle w:val="TableText0"/>
            </w:pPr>
            <w:r w:rsidRPr="00325B0D">
              <w:rPr>
                <w:rFonts w:cstheme="minorHAnsi"/>
                <w:sz w:val="20"/>
                <w:szCs w:val="20"/>
              </w:rPr>
              <w:t>DW</w:t>
            </w:r>
          </w:p>
        </w:tc>
        <w:tc>
          <w:tcPr>
            <w:tcW w:w="0" w:type="auto"/>
          </w:tcPr>
          <w:p w14:paraId="072E8ABA" w14:textId="14604AC3" w:rsidR="00661BBA" w:rsidRPr="00325B0D" w:rsidRDefault="00661BBA" w:rsidP="00661BBA">
            <w:pPr>
              <w:pStyle w:val="TableText0"/>
              <w:rPr>
                <w:rFonts w:cstheme="minorHAnsi"/>
                <w:sz w:val="20"/>
                <w:szCs w:val="20"/>
              </w:rPr>
            </w:pPr>
            <w:r w:rsidRPr="00325B0D">
              <w:rPr>
                <w:rFonts w:cstheme="minorHAnsi"/>
                <w:sz w:val="20"/>
                <w:szCs w:val="20"/>
              </w:rPr>
              <w:t>3.4 – 15</w:t>
            </w:r>
          </w:p>
        </w:tc>
        <w:tc>
          <w:tcPr>
            <w:tcW w:w="0" w:type="auto"/>
          </w:tcPr>
          <w:p w14:paraId="1F8CBF63" w14:textId="01D3A5DB" w:rsidR="00661BBA" w:rsidRPr="00325B0D" w:rsidRDefault="00661BBA" w:rsidP="00661BBA">
            <w:pPr>
              <w:pStyle w:val="TableText0"/>
              <w:rPr>
                <w:rFonts w:cstheme="minorHAnsi"/>
                <w:sz w:val="20"/>
                <w:szCs w:val="20"/>
              </w:rPr>
            </w:pPr>
            <w:r w:rsidRPr="00325B0D">
              <w:rPr>
                <w:rFonts w:cstheme="minorHAnsi"/>
                <w:sz w:val="20"/>
                <w:szCs w:val="20"/>
              </w:rPr>
              <w:t>Blaine et al. 2013</w:t>
            </w:r>
          </w:p>
        </w:tc>
      </w:tr>
      <w:tr w:rsidR="00661BBA" w14:paraId="173557D2" w14:textId="77777777" w:rsidTr="00F0584D">
        <w:tc>
          <w:tcPr>
            <w:tcW w:w="0" w:type="auto"/>
            <w:vMerge/>
          </w:tcPr>
          <w:p w14:paraId="3EE1A435" w14:textId="77777777" w:rsidR="00661BBA" w:rsidRPr="00DA71B8" w:rsidRDefault="00661BBA" w:rsidP="00661BBA">
            <w:pPr>
              <w:pStyle w:val="TableText0"/>
            </w:pPr>
          </w:p>
        </w:tc>
        <w:tc>
          <w:tcPr>
            <w:tcW w:w="0" w:type="auto"/>
            <w:tcMar>
              <w:left w:w="108" w:type="dxa"/>
              <w:right w:w="108" w:type="dxa"/>
            </w:tcMar>
          </w:tcPr>
          <w:p w14:paraId="716560E3" w14:textId="079DC596" w:rsidR="00661BBA" w:rsidRDefault="00661BBA" w:rsidP="00661BBA">
            <w:pPr>
              <w:pStyle w:val="TableText0"/>
            </w:pPr>
            <w:r w:rsidRPr="00325B0D">
              <w:rPr>
                <w:rFonts w:cstheme="minorHAnsi"/>
                <w:sz w:val="20"/>
                <w:szCs w:val="20"/>
              </w:rPr>
              <w:t>Celery</w:t>
            </w:r>
          </w:p>
        </w:tc>
        <w:tc>
          <w:tcPr>
            <w:tcW w:w="0" w:type="auto"/>
            <w:tcMar>
              <w:left w:w="108" w:type="dxa"/>
              <w:right w:w="108" w:type="dxa"/>
            </w:tcMar>
          </w:tcPr>
          <w:p w14:paraId="5942EA49" w14:textId="1ECA2F59" w:rsidR="00661BBA" w:rsidRDefault="00661BBA" w:rsidP="00661BBA">
            <w:pPr>
              <w:pStyle w:val="TableText0"/>
            </w:pPr>
            <w:r w:rsidRPr="00325B0D">
              <w:rPr>
                <w:rFonts w:cstheme="minorHAnsi"/>
                <w:sz w:val="20"/>
                <w:szCs w:val="20"/>
              </w:rPr>
              <w:t>0.07, 2.3</w:t>
            </w:r>
          </w:p>
        </w:tc>
        <w:tc>
          <w:tcPr>
            <w:tcW w:w="0" w:type="auto"/>
            <w:tcMar>
              <w:left w:w="108" w:type="dxa"/>
              <w:right w:w="108" w:type="dxa"/>
            </w:tcMar>
          </w:tcPr>
          <w:p w14:paraId="7722DC3E" w14:textId="54F2D127" w:rsidR="00661BBA" w:rsidRDefault="00661BBA" w:rsidP="00661BBA">
            <w:pPr>
              <w:pStyle w:val="TableText0"/>
            </w:pPr>
            <w:r w:rsidRPr="00325B0D">
              <w:rPr>
                <w:rFonts w:cstheme="minorHAnsi"/>
                <w:sz w:val="20"/>
                <w:szCs w:val="20"/>
              </w:rPr>
              <w:t>0.05, 1.4</w:t>
            </w:r>
          </w:p>
        </w:tc>
        <w:tc>
          <w:tcPr>
            <w:tcW w:w="0" w:type="auto"/>
            <w:tcMar>
              <w:left w:w="108" w:type="dxa"/>
              <w:right w:w="108" w:type="dxa"/>
            </w:tcMar>
          </w:tcPr>
          <w:p w14:paraId="0F681BAE" w14:textId="1EC66F6D" w:rsidR="00661BBA" w:rsidRDefault="00661BBA" w:rsidP="00661BBA">
            <w:pPr>
              <w:pStyle w:val="TableText0"/>
            </w:pPr>
            <w:r w:rsidRPr="00325B0D">
              <w:rPr>
                <w:rFonts w:cstheme="minorHAnsi"/>
                <w:sz w:val="20"/>
                <w:szCs w:val="20"/>
              </w:rPr>
              <w:t>DW</w:t>
            </w:r>
          </w:p>
        </w:tc>
        <w:tc>
          <w:tcPr>
            <w:tcW w:w="0" w:type="auto"/>
          </w:tcPr>
          <w:p w14:paraId="27FA9E15" w14:textId="3F0589D4" w:rsidR="00661BBA" w:rsidRPr="00325B0D" w:rsidRDefault="00661BBA" w:rsidP="00661BBA">
            <w:pPr>
              <w:pStyle w:val="TableText0"/>
              <w:rPr>
                <w:rFonts w:cstheme="minorHAnsi"/>
                <w:sz w:val="20"/>
                <w:szCs w:val="20"/>
              </w:rPr>
            </w:pPr>
            <w:r w:rsidRPr="00325B0D">
              <w:rPr>
                <w:rFonts w:cstheme="minorHAnsi"/>
                <w:sz w:val="20"/>
                <w:szCs w:val="20"/>
              </w:rPr>
              <w:t xml:space="preserve">1.4 </w:t>
            </w:r>
            <w:r w:rsidRPr="00325B0D">
              <w:rPr>
                <w:rFonts w:cs="Arial"/>
                <w:sz w:val="20"/>
                <w:szCs w:val="20"/>
              </w:rPr>
              <w:t>–</w:t>
            </w:r>
            <w:r w:rsidRPr="00325B0D">
              <w:rPr>
                <w:rFonts w:cstheme="minorHAnsi"/>
                <w:sz w:val="20"/>
                <w:szCs w:val="20"/>
              </w:rPr>
              <w:t xml:space="preserve"> 1.7</w:t>
            </w:r>
          </w:p>
        </w:tc>
        <w:tc>
          <w:tcPr>
            <w:tcW w:w="0" w:type="auto"/>
          </w:tcPr>
          <w:p w14:paraId="548F4420" w14:textId="603DF249" w:rsidR="00661BBA" w:rsidRPr="00325B0D" w:rsidRDefault="00661BBA" w:rsidP="00661BBA">
            <w:pPr>
              <w:pStyle w:val="TableText0"/>
              <w:rPr>
                <w:rFonts w:cstheme="minorHAnsi"/>
                <w:sz w:val="20"/>
                <w:szCs w:val="20"/>
              </w:rPr>
            </w:pPr>
            <w:r w:rsidRPr="00325B0D">
              <w:rPr>
                <w:rFonts w:cstheme="minorHAnsi"/>
                <w:sz w:val="20"/>
                <w:szCs w:val="20"/>
              </w:rPr>
              <w:t>Blaine et al. 2014</w:t>
            </w:r>
          </w:p>
        </w:tc>
      </w:tr>
      <w:tr w:rsidR="00FB6CFC" w14:paraId="725B4309" w14:textId="77777777" w:rsidTr="00F0584D">
        <w:tc>
          <w:tcPr>
            <w:tcW w:w="0" w:type="auto"/>
            <w:vMerge w:val="restart"/>
          </w:tcPr>
          <w:p w14:paraId="029AD8DF" w14:textId="77777777" w:rsidR="00661BBA" w:rsidRPr="00DA71B8" w:rsidRDefault="00661BBA" w:rsidP="00661BBA">
            <w:pPr>
              <w:pStyle w:val="TableText0"/>
            </w:pPr>
            <w:r>
              <w:t>Root vegetable</w:t>
            </w:r>
          </w:p>
        </w:tc>
        <w:tc>
          <w:tcPr>
            <w:tcW w:w="0" w:type="auto"/>
            <w:tcMar>
              <w:left w:w="108" w:type="dxa"/>
              <w:right w:w="108" w:type="dxa"/>
            </w:tcMar>
          </w:tcPr>
          <w:p w14:paraId="097E8C73" w14:textId="22B4CDEA" w:rsidR="00661BBA" w:rsidRDefault="00661BBA" w:rsidP="00661BBA">
            <w:pPr>
              <w:pStyle w:val="TableText0"/>
            </w:pPr>
            <w:r w:rsidRPr="00325B0D">
              <w:rPr>
                <w:rFonts w:cstheme="minorHAnsi"/>
                <w:sz w:val="20"/>
                <w:szCs w:val="20"/>
              </w:rPr>
              <w:t>Radish</w:t>
            </w:r>
          </w:p>
        </w:tc>
        <w:tc>
          <w:tcPr>
            <w:tcW w:w="0" w:type="auto"/>
            <w:tcMar>
              <w:left w:w="108" w:type="dxa"/>
              <w:right w:w="108" w:type="dxa"/>
            </w:tcMar>
          </w:tcPr>
          <w:p w14:paraId="56DEDC6A" w14:textId="42ED980D" w:rsidR="00661BBA" w:rsidRDefault="00661BBA" w:rsidP="00661BBA">
            <w:pPr>
              <w:pStyle w:val="TableText0"/>
            </w:pPr>
            <w:r w:rsidRPr="00325B0D">
              <w:rPr>
                <w:rFonts w:cstheme="minorHAnsi"/>
                <w:sz w:val="20"/>
                <w:szCs w:val="20"/>
              </w:rPr>
              <w:t>0.85, 2.1</w:t>
            </w:r>
          </w:p>
        </w:tc>
        <w:tc>
          <w:tcPr>
            <w:tcW w:w="0" w:type="auto"/>
            <w:tcMar>
              <w:left w:w="108" w:type="dxa"/>
              <w:right w:w="108" w:type="dxa"/>
            </w:tcMar>
          </w:tcPr>
          <w:p w14:paraId="3EBAA7AA" w14:textId="0174A422" w:rsidR="00661BBA" w:rsidRDefault="00661BBA" w:rsidP="00661BBA">
            <w:pPr>
              <w:pStyle w:val="TableText0"/>
            </w:pPr>
            <w:r w:rsidRPr="00325B0D">
              <w:rPr>
                <w:rFonts w:cstheme="minorHAnsi"/>
                <w:sz w:val="20"/>
                <w:szCs w:val="20"/>
              </w:rPr>
              <w:t>0.07, 0.7</w:t>
            </w:r>
          </w:p>
        </w:tc>
        <w:tc>
          <w:tcPr>
            <w:tcW w:w="0" w:type="auto"/>
            <w:tcMar>
              <w:left w:w="108" w:type="dxa"/>
              <w:right w:w="108" w:type="dxa"/>
            </w:tcMar>
          </w:tcPr>
          <w:p w14:paraId="19BEF529" w14:textId="3179C4AF" w:rsidR="00661BBA" w:rsidRDefault="00661BBA" w:rsidP="00661BBA">
            <w:pPr>
              <w:pStyle w:val="TableText0"/>
            </w:pPr>
            <w:r w:rsidRPr="00325B0D">
              <w:rPr>
                <w:rFonts w:cstheme="minorHAnsi"/>
                <w:sz w:val="20"/>
                <w:szCs w:val="20"/>
              </w:rPr>
              <w:t>DW</w:t>
            </w:r>
          </w:p>
        </w:tc>
        <w:tc>
          <w:tcPr>
            <w:tcW w:w="0" w:type="auto"/>
          </w:tcPr>
          <w:p w14:paraId="4DCFD58C" w14:textId="3C1CA576" w:rsidR="00661BBA" w:rsidRPr="00325B0D" w:rsidRDefault="00661BBA" w:rsidP="00661BBA">
            <w:pPr>
              <w:pStyle w:val="TableText0"/>
              <w:rPr>
                <w:rFonts w:cstheme="minorHAnsi"/>
                <w:sz w:val="20"/>
                <w:szCs w:val="20"/>
              </w:rPr>
            </w:pPr>
            <w:r w:rsidRPr="00325B0D">
              <w:rPr>
                <w:rFonts w:cstheme="minorHAnsi"/>
                <w:sz w:val="20"/>
                <w:szCs w:val="20"/>
              </w:rPr>
              <w:t>2.9, 13</w:t>
            </w:r>
          </w:p>
        </w:tc>
        <w:tc>
          <w:tcPr>
            <w:tcW w:w="0" w:type="auto"/>
          </w:tcPr>
          <w:p w14:paraId="394049C8" w14:textId="6F81B4A6" w:rsidR="00661BBA" w:rsidRPr="00325B0D" w:rsidRDefault="00661BBA" w:rsidP="00661BBA">
            <w:pPr>
              <w:pStyle w:val="TableText0"/>
              <w:rPr>
                <w:rFonts w:cstheme="minorHAnsi"/>
                <w:sz w:val="20"/>
                <w:szCs w:val="20"/>
              </w:rPr>
            </w:pPr>
            <w:r w:rsidRPr="00325B0D">
              <w:rPr>
                <w:rFonts w:cstheme="minorHAnsi"/>
                <w:sz w:val="20"/>
                <w:szCs w:val="20"/>
              </w:rPr>
              <w:t>Blaine et al. 2014</w:t>
            </w:r>
          </w:p>
        </w:tc>
      </w:tr>
      <w:tr w:rsidR="00661BBA" w14:paraId="3AC6F4EC" w14:textId="77777777" w:rsidTr="00F0584D">
        <w:tc>
          <w:tcPr>
            <w:tcW w:w="0" w:type="auto"/>
            <w:vMerge/>
          </w:tcPr>
          <w:p w14:paraId="3227B81E" w14:textId="77777777" w:rsidR="00661BBA" w:rsidRPr="00DA71B8" w:rsidRDefault="00661BBA" w:rsidP="00661BBA">
            <w:pPr>
              <w:pStyle w:val="TableText0"/>
            </w:pPr>
          </w:p>
        </w:tc>
        <w:tc>
          <w:tcPr>
            <w:tcW w:w="0" w:type="auto"/>
            <w:shd w:val="clear" w:color="auto" w:fill="auto"/>
            <w:tcMar>
              <w:left w:w="108" w:type="dxa"/>
              <w:right w:w="108" w:type="dxa"/>
            </w:tcMar>
          </w:tcPr>
          <w:p w14:paraId="38CF1683" w14:textId="3EF0E876" w:rsidR="00661BBA" w:rsidRDefault="00661BBA" w:rsidP="00661BBA">
            <w:pPr>
              <w:pStyle w:val="TableText0"/>
            </w:pPr>
            <w:r w:rsidRPr="00325B0D">
              <w:rPr>
                <w:rFonts w:cstheme="minorHAnsi"/>
                <w:sz w:val="20"/>
                <w:szCs w:val="20"/>
              </w:rPr>
              <w:t xml:space="preserve">Radish </w:t>
            </w:r>
            <w:r w:rsidR="00E61C3A" w:rsidRPr="004636DE">
              <w:rPr>
                <w:sz w:val="20"/>
                <w:szCs w:val="20"/>
                <w:vertAlign w:val="superscript"/>
              </w:rPr>
              <w:t>a</w:t>
            </w:r>
          </w:p>
        </w:tc>
        <w:tc>
          <w:tcPr>
            <w:tcW w:w="0" w:type="auto"/>
            <w:shd w:val="clear" w:color="auto" w:fill="auto"/>
            <w:tcMar>
              <w:left w:w="108" w:type="dxa"/>
              <w:right w:w="108" w:type="dxa"/>
            </w:tcMar>
          </w:tcPr>
          <w:p w14:paraId="7B9F8198" w14:textId="753D37C0" w:rsidR="00661BBA" w:rsidRDefault="00661BBA" w:rsidP="00661BBA">
            <w:pPr>
              <w:pStyle w:val="TableText0"/>
            </w:pPr>
            <w:r w:rsidRPr="00325B0D">
              <w:rPr>
                <w:rFonts w:cstheme="minorHAnsi"/>
                <w:sz w:val="20"/>
                <w:szCs w:val="20"/>
              </w:rPr>
              <w:t>13</w:t>
            </w:r>
          </w:p>
        </w:tc>
        <w:tc>
          <w:tcPr>
            <w:tcW w:w="0" w:type="auto"/>
            <w:shd w:val="clear" w:color="auto" w:fill="auto"/>
            <w:tcMar>
              <w:left w:w="108" w:type="dxa"/>
              <w:right w:w="108" w:type="dxa"/>
            </w:tcMar>
          </w:tcPr>
          <w:p w14:paraId="313B948A" w14:textId="73446E06" w:rsidR="00661BBA" w:rsidRDefault="00661BBA" w:rsidP="00661BBA">
            <w:pPr>
              <w:pStyle w:val="TableText0"/>
            </w:pPr>
            <w:r w:rsidRPr="00325B0D">
              <w:rPr>
                <w:rFonts w:cstheme="minorHAnsi"/>
                <w:sz w:val="20"/>
                <w:szCs w:val="20"/>
              </w:rPr>
              <w:t>2.9</w:t>
            </w:r>
          </w:p>
        </w:tc>
        <w:tc>
          <w:tcPr>
            <w:tcW w:w="0" w:type="auto"/>
            <w:shd w:val="clear" w:color="auto" w:fill="auto"/>
            <w:tcMar>
              <w:left w:w="108" w:type="dxa"/>
              <w:right w:w="108" w:type="dxa"/>
            </w:tcMar>
          </w:tcPr>
          <w:p w14:paraId="55BE3066" w14:textId="164DD803" w:rsidR="00661BBA" w:rsidRDefault="00661BBA" w:rsidP="00661BBA">
            <w:pPr>
              <w:pStyle w:val="TableText0"/>
            </w:pPr>
            <w:r w:rsidRPr="00325B0D">
              <w:rPr>
                <w:rFonts w:cstheme="minorHAnsi"/>
                <w:sz w:val="20"/>
                <w:szCs w:val="20"/>
              </w:rPr>
              <w:t>DW</w:t>
            </w:r>
          </w:p>
        </w:tc>
        <w:tc>
          <w:tcPr>
            <w:tcW w:w="0" w:type="auto"/>
            <w:shd w:val="clear" w:color="auto" w:fill="auto"/>
          </w:tcPr>
          <w:p w14:paraId="7C5390B8" w14:textId="059718B0" w:rsidR="00661BBA" w:rsidRPr="00325B0D" w:rsidRDefault="00661BBA" w:rsidP="00661BBA">
            <w:pPr>
              <w:pStyle w:val="TableText0"/>
              <w:rPr>
                <w:rFonts w:cstheme="minorHAnsi"/>
                <w:sz w:val="20"/>
                <w:szCs w:val="20"/>
              </w:rPr>
            </w:pPr>
            <w:r w:rsidRPr="00325B0D">
              <w:rPr>
                <w:rFonts w:cstheme="minorHAnsi"/>
                <w:sz w:val="20"/>
                <w:szCs w:val="20"/>
              </w:rPr>
              <w:t>4.5</w:t>
            </w:r>
          </w:p>
        </w:tc>
        <w:tc>
          <w:tcPr>
            <w:tcW w:w="0" w:type="auto"/>
            <w:shd w:val="clear" w:color="auto" w:fill="auto"/>
          </w:tcPr>
          <w:p w14:paraId="2CE3D09D" w14:textId="1EED4280" w:rsidR="00661BBA" w:rsidRPr="00325B0D" w:rsidRDefault="00661BBA" w:rsidP="00661BBA">
            <w:pPr>
              <w:pStyle w:val="TableText0"/>
              <w:rPr>
                <w:rFonts w:cstheme="minorHAnsi"/>
                <w:sz w:val="20"/>
                <w:szCs w:val="20"/>
              </w:rPr>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661BBA" w14:paraId="0A43FD4B" w14:textId="77777777" w:rsidTr="00F0584D">
        <w:tc>
          <w:tcPr>
            <w:tcW w:w="0" w:type="auto"/>
            <w:vMerge/>
          </w:tcPr>
          <w:p w14:paraId="7DAECC0F" w14:textId="77777777" w:rsidR="00661BBA" w:rsidRPr="00DA71B8" w:rsidRDefault="00661BBA" w:rsidP="00661BBA">
            <w:pPr>
              <w:pStyle w:val="TableText0"/>
            </w:pPr>
          </w:p>
        </w:tc>
        <w:tc>
          <w:tcPr>
            <w:tcW w:w="0" w:type="auto"/>
            <w:shd w:val="clear" w:color="auto" w:fill="auto"/>
            <w:tcMar>
              <w:left w:w="108" w:type="dxa"/>
              <w:right w:w="108" w:type="dxa"/>
            </w:tcMar>
          </w:tcPr>
          <w:p w14:paraId="35D762D8" w14:textId="3932AD8F" w:rsidR="00661BBA" w:rsidRDefault="00661BBA" w:rsidP="00661BBA">
            <w:pPr>
              <w:pStyle w:val="TableText0"/>
            </w:pPr>
            <w:r w:rsidRPr="00325B0D">
              <w:rPr>
                <w:rFonts w:cstheme="minorHAnsi"/>
                <w:sz w:val="20"/>
                <w:szCs w:val="20"/>
              </w:rPr>
              <w:t xml:space="preserve">Carrot </w:t>
            </w:r>
            <w:r w:rsidR="00E61C3A" w:rsidRPr="00C535CF">
              <w:rPr>
                <w:sz w:val="20"/>
                <w:szCs w:val="20"/>
                <w:vertAlign w:val="superscript"/>
              </w:rPr>
              <w:t>a</w:t>
            </w:r>
          </w:p>
        </w:tc>
        <w:tc>
          <w:tcPr>
            <w:tcW w:w="0" w:type="auto"/>
            <w:shd w:val="clear" w:color="auto" w:fill="auto"/>
            <w:tcMar>
              <w:left w:w="108" w:type="dxa"/>
              <w:right w:w="108" w:type="dxa"/>
            </w:tcMar>
          </w:tcPr>
          <w:p w14:paraId="22F7DB00" w14:textId="119FD512" w:rsidR="00661BBA" w:rsidRDefault="00661BBA" w:rsidP="00661BBA">
            <w:pPr>
              <w:pStyle w:val="TableText0"/>
            </w:pPr>
            <w:r w:rsidRPr="00325B0D">
              <w:rPr>
                <w:rFonts w:cstheme="minorHAnsi"/>
                <w:sz w:val="20"/>
                <w:szCs w:val="20"/>
              </w:rPr>
              <w:t>1.1</w:t>
            </w:r>
          </w:p>
        </w:tc>
        <w:tc>
          <w:tcPr>
            <w:tcW w:w="0" w:type="auto"/>
            <w:shd w:val="clear" w:color="auto" w:fill="auto"/>
            <w:tcMar>
              <w:left w:w="108" w:type="dxa"/>
              <w:right w:w="108" w:type="dxa"/>
            </w:tcMar>
          </w:tcPr>
          <w:p w14:paraId="1999635F" w14:textId="7D4EB62E" w:rsidR="00661BBA" w:rsidRDefault="00661BBA" w:rsidP="00661BBA">
            <w:pPr>
              <w:pStyle w:val="TableText0"/>
            </w:pPr>
            <w:r w:rsidRPr="00325B0D">
              <w:rPr>
                <w:rFonts w:cstheme="minorHAnsi"/>
                <w:sz w:val="20"/>
                <w:szCs w:val="20"/>
              </w:rPr>
              <w:t>1</w:t>
            </w:r>
          </w:p>
        </w:tc>
        <w:tc>
          <w:tcPr>
            <w:tcW w:w="0" w:type="auto"/>
            <w:shd w:val="clear" w:color="auto" w:fill="auto"/>
            <w:tcMar>
              <w:left w:w="108" w:type="dxa"/>
              <w:right w:w="108" w:type="dxa"/>
            </w:tcMar>
          </w:tcPr>
          <w:p w14:paraId="2C85FB38" w14:textId="2B4AA0C3" w:rsidR="00661BBA" w:rsidRDefault="00661BBA" w:rsidP="00661BBA">
            <w:pPr>
              <w:pStyle w:val="TableText0"/>
            </w:pPr>
            <w:r w:rsidRPr="00325B0D">
              <w:rPr>
                <w:rFonts w:cstheme="minorHAnsi"/>
                <w:sz w:val="20"/>
                <w:szCs w:val="20"/>
              </w:rPr>
              <w:t>DW</w:t>
            </w:r>
          </w:p>
        </w:tc>
        <w:tc>
          <w:tcPr>
            <w:tcW w:w="0" w:type="auto"/>
            <w:shd w:val="clear" w:color="auto" w:fill="auto"/>
          </w:tcPr>
          <w:p w14:paraId="2B0366AA" w14:textId="2D96B19A" w:rsidR="00661BBA" w:rsidRPr="00325B0D" w:rsidRDefault="00661BBA" w:rsidP="00661BBA">
            <w:pPr>
              <w:pStyle w:val="TableText0"/>
              <w:rPr>
                <w:rFonts w:cstheme="minorHAnsi"/>
                <w:sz w:val="20"/>
                <w:szCs w:val="20"/>
              </w:rPr>
            </w:pPr>
            <w:r w:rsidRPr="00325B0D">
              <w:rPr>
                <w:rFonts w:cstheme="minorHAnsi"/>
                <w:sz w:val="20"/>
                <w:szCs w:val="20"/>
              </w:rPr>
              <w:t>1.1</w:t>
            </w:r>
          </w:p>
        </w:tc>
        <w:tc>
          <w:tcPr>
            <w:tcW w:w="0" w:type="auto"/>
            <w:shd w:val="clear" w:color="auto" w:fill="auto"/>
          </w:tcPr>
          <w:p w14:paraId="3C8660FF" w14:textId="630B94BD" w:rsidR="00661BBA" w:rsidRPr="00325B0D" w:rsidRDefault="00661BBA" w:rsidP="00661BBA">
            <w:pPr>
              <w:pStyle w:val="TableText0"/>
              <w:rPr>
                <w:rFonts w:cstheme="minorHAnsi"/>
                <w:sz w:val="20"/>
                <w:szCs w:val="20"/>
              </w:rPr>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FB6CFC" w14:paraId="2B79726A" w14:textId="77777777" w:rsidTr="00F0584D">
        <w:tc>
          <w:tcPr>
            <w:tcW w:w="0" w:type="auto"/>
            <w:vMerge w:val="restart"/>
          </w:tcPr>
          <w:p w14:paraId="4231351A" w14:textId="661A7D1C" w:rsidR="00661BBA" w:rsidRPr="00DA71B8" w:rsidRDefault="00661BBA" w:rsidP="00661BBA">
            <w:pPr>
              <w:pStyle w:val="TableText0"/>
            </w:pPr>
            <w:r>
              <w:t xml:space="preserve">Fruit </w:t>
            </w:r>
          </w:p>
        </w:tc>
        <w:tc>
          <w:tcPr>
            <w:tcW w:w="0" w:type="auto"/>
            <w:tcMar>
              <w:left w:w="108" w:type="dxa"/>
              <w:right w:w="108" w:type="dxa"/>
            </w:tcMar>
          </w:tcPr>
          <w:p w14:paraId="74CEFE1C" w14:textId="18639802" w:rsidR="00661BBA" w:rsidRDefault="00661BBA" w:rsidP="00661BBA">
            <w:pPr>
              <w:pStyle w:val="TableText0"/>
            </w:pPr>
            <w:r w:rsidRPr="00325B0D">
              <w:rPr>
                <w:rFonts w:cstheme="minorHAnsi"/>
                <w:sz w:val="20"/>
                <w:szCs w:val="20"/>
              </w:rPr>
              <w:t>Pea</w:t>
            </w:r>
          </w:p>
        </w:tc>
        <w:tc>
          <w:tcPr>
            <w:tcW w:w="0" w:type="auto"/>
            <w:tcMar>
              <w:left w:w="108" w:type="dxa"/>
              <w:right w:w="108" w:type="dxa"/>
            </w:tcMar>
          </w:tcPr>
          <w:p w14:paraId="43F765F1" w14:textId="74123F39" w:rsidR="00661BBA" w:rsidRDefault="00661BBA" w:rsidP="00661BBA">
            <w:pPr>
              <w:pStyle w:val="TableText0"/>
            </w:pPr>
            <w:r w:rsidRPr="00325B0D">
              <w:rPr>
                <w:rFonts w:cstheme="minorHAnsi"/>
                <w:sz w:val="20"/>
                <w:szCs w:val="20"/>
              </w:rPr>
              <w:t>0.17</w:t>
            </w:r>
          </w:p>
        </w:tc>
        <w:tc>
          <w:tcPr>
            <w:tcW w:w="0" w:type="auto"/>
            <w:tcMar>
              <w:left w:w="108" w:type="dxa"/>
              <w:right w:w="108" w:type="dxa"/>
            </w:tcMar>
          </w:tcPr>
          <w:p w14:paraId="050EAC71" w14:textId="3C19A639" w:rsidR="00661BBA" w:rsidRDefault="00661BBA" w:rsidP="00661BBA">
            <w:pPr>
              <w:pStyle w:val="TableText0"/>
            </w:pPr>
            <w:r w:rsidRPr="00325B0D">
              <w:rPr>
                <w:rFonts w:cstheme="minorHAnsi"/>
                <w:sz w:val="20"/>
                <w:szCs w:val="20"/>
              </w:rPr>
              <w:t>0.03</w:t>
            </w:r>
          </w:p>
        </w:tc>
        <w:tc>
          <w:tcPr>
            <w:tcW w:w="0" w:type="auto"/>
            <w:tcMar>
              <w:left w:w="108" w:type="dxa"/>
              <w:right w:w="108" w:type="dxa"/>
            </w:tcMar>
          </w:tcPr>
          <w:p w14:paraId="1EFA0F05" w14:textId="1796005D" w:rsidR="00661BBA" w:rsidRDefault="00661BBA" w:rsidP="00661BBA">
            <w:pPr>
              <w:pStyle w:val="TableText0"/>
            </w:pPr>
            <w:r w:rsidRPr="00325B0D">
              <w:rPr>
                <w:rFonts w:cstheme="minorHAnsi"/>
                <w:sz w:val="20"/>
                <w:szCs w:val="20"/>
              </w:rPr>
              <w:t>DW</w:t>
            </w:r>
          </w:p>
        </w:tc>
        <w:tc>
          <w:tcPr>
            <w:tcW w:w="0" w:type="auto"/>
          </w:tcPr>
          <w:p w14:paraId="7A1EED7B" w14:textId="3E1AB6F4" w:rsidR="00661BBA" w:rsidRPr="00325B0D" w:rsidRDefault="00661BBA" w:rsidP="00661BBA">
            <w:pPr>
              <w:pStyle w:val="TableText0"/>
              <w:rPr>
                <w:rFonts w:cstheme="minorHAnsi"/>
                <w:sz w:val="20"/>
                <w:szCs w:val="20"/>
              </w:rPr>
            </w:pPr>
            <w:r w:rsidRPr="00325B0D">
              <w:rPr>
                <w:rFonts w:cstheme="minorHAnsi"/>
                <w:sz w:val="20"/>
                <w:szCs w:val="20"/>
              </w:rPr>
              <w:t xml:space="preserve">6.7 </w:t>
            </w:r>
            <w:r w:rsidR="00E61C3A" w:rsidRPr="004636DE">
              <w:rPr>
                <w:rFonts w:cstheme="minorHAnsi"/>
                <w:sz w:val="20"/>
                <w:szCs w:val="20"/>
                <w:vertAlign w:val="superscript"/>
              </w:rPr>
              <w:t>b</w:t>
            </w:r>
          </w:p>
        </w:tc>
        <w:tc>
          <w:tcPr>
            <w:tcW w:w="0" w:type="auto"/>
          </w:tcPr>
          <w:p w14:paraId="0F899082" w14:textId="7E2E33B9" w:rsidR="00661BBA" w:rsidRPr="00325B0D" w:rsidRDefault="00661BBA" w:rsidP="00661BBA">
            <w:pPr>
              <w:pStyle w:val="TableText0"/>
              <w:rPr>
                <w:rFonts w:cstheme="minorHAnsi"/>
                <w:sz w:val="20"/>
                <w:szCs w:val="20"/>
              </w:rPr>
            </w:pPr>
            <w:r w:rsidRPr="00325B0D">
              <w:rPr>
                <w:rFonts w:cstheme="minorHAnsi"/>
                <w:sz w:val="20"/>
                <w:szCs w:val="20"/>
              </w:rPr>
              <w:t>Blaine et al. 2014</w:t>
            </w:r>
          </w:p>
        </w:tc>
      </w:tr>
      <w:tr w:rsidR="00661BBA" w14:paraId="4DD25FB0" w14:textId="77777777" w:rsidTr="00F0584D">
        <w:tc>
          <w:tcPr>
            <w:tcW w:w="0" w:type="auto"/>
            <w:vMerge/>
          </w:tcPr>
          <w:p w14:paraId="6D272645" w14:textId="77777777" w:rsidR="00661BBA" w:rsidRDefault="00661BBA" w:rsidP="00661BBA">
            <w:pPr>
              <w:pStyle w:val="TableText0"/>
            </w:pPr>
          </w:p>
        </w:tc>
        <w:tc>
          <w:tcPr>
            <w:tcW w:w="0" w:type="auto"/>
            <w:shd w:val="clear" w:color="auto" w:fill="auto"/>
            <w:tcMar>
              <w:left w:w="108" w:type="dxa"/>
              <w:right w:w="108" w:type="dxa"/>
            </w:tcMar>
          </w:tcPr>
          <w:p w14:paraId="11F41623" w14:textId="769D5A45" w:rsidR="00661BBA" w:rsidRDefault="00661BBA" w:rsidP="00661BBA">
            <w:pPr>
              <w:pStyle w:val="TableText0"/>
            </w:pPr>
            <w:r w:rsidRPr="00325B0D">
              <w:rPr>
                <w:rFonts w:cstheme="minorHAnsi"/>
                <w:sz w:val="20"/>
                <w:szCs w:val="20"/>
              </w:rPr>
              <w:t xml:space="preserve">Tomato </w:t>
            </w:r>
            <w:r w:rsidR="00E61C3A" w:rsidRPr="00C535CF">
              <w:rPr>
                <w:sz w:val="20"/>
                <w:szCs w:val="20"/>
                <w:vertAlign w:val="superscript"/>
              </w:rPr>
              <w:t>a</w:t>
            </w:r>
          </w:p>
        </w:tc>
        <w:tc>
          <w:tcPr>
            <w:tcW w:w="0" w:type="auto"/>
            <w:shd w:val="clear" w:color="auto" w:fill="auto"/>
            <w:tcMar>
              <w:left w:w="108" w:type="dxa"/>
              <w:right w:w="108" w:type="dxa"/>
            </w:tcMar>
          </w:tcPr>
          <w:p w14:paraId="5C01F3F0" w14:textId="5A6458CB" w:rsidR="00661BBA" w:rsidRDefault="00661BBA" w:rsidP="00661BBA">
            <w:pPr>
              <w:pStyle w:val="TableText0"/>
            </w:pPr>
            <w:r w:rsidRPr="00325B0D">
              <w:rPr>
                <w:rFonts w:cstheme="minorHAnsi"/>
                <w:sz w:val="20"/>
                <w:szCs w:val="20"/>
              </w:rPr>
              <w:t>0.28</w:t>
            </w:r>
          </w:p>
        </w:tc>
        <w:tc>
          <w:tcPr>
            <w:tcW w:w="0" w:type="auto"/>
            <w:shd w:val="clear" w:color="auto" w:fill="auto"/>
            <w:tcMar>
              <w:left w:w="108" w:type="dxa"/>
              <w:right w:w="108" w:type="dxa"/>
            </w:tcMar>
          </w:tcPr>
          <w:p w14:paraId="51F81301" w14:textId="1E4FF8D8" w:rsidR="00661BBA" w:rsidRDefault="00661BBA" w:rsidP="00661BBA">
            <w:pPr>
              <w:pStyle w:val="TableText0"/>
            </w:pPr>
            <w:r w:rsidRPr="00325B0D">
              <w:rPr>
                <w:rFonts w:cstheme="minorHAnsi"/>
                <w:sz w:val="20"/>
                <w:szCs w:val="20"/>
              </w:rPr>
              <w:t>0.25</w:t>
            </w:r>
          </w:p>
        </w:tc>
        <w:tc>
          <w:tcPr>
            <w:tcW w:w="0" w:type="auto"/>
            <w:shd w:val="clear" w:color="auto" w:fill="auto"/>
            <w:tcMar>
              <w:left w:w="108" w:type="dxa"/>
              <w:right w:w="108" w:type="dxa"/>
            </w:tcMar>
          </w:tcPr>
          <w:p w14:paraId="34FDFEE1" w14:textId="0CA13BF0" w:rsidR="00661BBA" w:rsidRDefault="00661BBA" w:rsidP="00661BBA">
            <w:pPr>
              <w:pStyle w:val="TableText0"/>
            </w:pPr>
            <w:r w:rsidRPr="00325B0D">
              <w:rPr>
                <w:rFonts w:cstheme="minorHAnsi"/>
                <w:sz w:val="20"/>
                <w:szCs w:val="20"/>
              </w:rPr>
              <w:t>DW</w:t>
            </w:r>
          </w:p>
        </w:tc>
        <w:tc>
          <w:tcPr>
            <w:tcW w:w="0" w:type="auto"/>
            <w:shd w:val="clear" w:color="auto" w:fill="auto"/>
          </w:tcPr>
          <w:p w14:paraId="0F27DEB3" w14:textId="30443D41" w:rsidR="00661BBA" w:rsidRPr="00325B0D" w:rsidRDefault="00661BBA" w:rsidP="00661BBA">
            <w:pPr>
              <w:pStyle w:val="TableText0"/>
              <w:rPr>
                <w:rFonts w:cstheme="minorHAnsi"/>
                <w:sz w:val="20"/>
                <w:szCs w:val="20"/>
              </w:rPr>
            </w:pPr>
            <w:r w:rsidRPr="00325B0D">
              <w:rPr>
                <w:rFonts w:cstheme="minorHAnsi"/>
                <w:sz w:val="20"/>
                <w:szCs w:val="20"/>
              </w:rPr>
              <w:t>1.1</w:t>
            </w:r>
          </w:p>
        </w:tc>
        <w:tc>
          <w:tcPr>
            <w:tcW w:w="0" w:type="auto"/>
            <w:shd w:val="clear" w:color="auto" w:fill="auto"/>
          </w:tcPr>
          <w:p w14:paraId="07972E28" w14:textId="1506C313" w:rsidR="00661BBA" w:rsidRPr="00325B0D" w:rsidRDefault="00661BBA" w:rsidP="00661BBA">
            <w:pPr>
              <w:pStyle w:val="TableText0"/>
              <w:rPr>
                <w:rFonts w:cstheme="minorHAnsi"/>
                <w:sz w:val="20"/>
                <w:szCs w:val="20"/>
              </w:rPr>
            </w:pPr>
            <w:r w:rsidRPr="00325B0D">
              <w:rPr>
                <w:rFonts w:cstheme="minorHAnsi"/>
                <w:sz w:val="20"/>
                <w:szCs w:val="20"/>
              </w:rPr>
              <w:t>Bao et al. 2020</w:t>
            </w:r>
          </w:p>
        </w:tc>
      </w:tr>
      <w:tr w:rsidR="00661BBA" w14:paraId="3D8A3A33" w14:textId="77777777" w:rsidTr="00F0584D">
        <w:tc>
          <w:tcPr>
            <w:tcW w:w="0" w:type="auto"/>
            <w:vMerge/>
          </w:tcPr>
          <w:p w14:paraId="1AADD4C2" w14:textId="77777777" w:rsidR="00661BBA" w:rsidRDefault="00661BBA" w:rsidP="00661BBA">
            <w:pPr>
              <w:pStyle w:val="TableText0"/>
            </w:pPr>
          </w:p>
        </w:tc>
        <w:tc>
          <w:tcPr>
            <w:tcW w:w="0" w:type="auto"/>
            <w:shd w:val="clear" w:color="auto" w:fill="auto"/>
            <w:tcMar>
              <w:left w:w="108" w:type="dxa"/>
              <w:right w:w="108" w:type="dxa"/>
            </w:tcMar>
          </w:tcPr>
          <w:p w14:paraId="19C7C695" w14:textId="0AEEFEF5" w:rsidR="00661BBA" w:rsidRDefault="00661BBA" w:rsidP="00661BBA">
            <w:pPr>
              <w:pStyle w:val="TableText0"/>
            </w:pPr>
            <w:r w:rsidRPr="00325B0D">
              <w:rPr>
                <w:rFonts w:cstheme="minorHAnsi"/>
                <w:sz w:val="20"/>
                <w:szCs w:val="20"/>
              </w:rPr>
              <w:t xml:space="preserve">Cucumber </w:t>
            </w:r>
            <w:r w:rsidR="00E61C3A" w:rsidRPr="00C535CF">
              <w:rPr>
                <w:sz w:val="20"/>
                <w:szCs w:val="20"/>
                <w:vertAlign w:val="superscript"/>
              </w:rPr>
              <w:t>a</w:t>
            </w:r>
          </w:p>
        </w:tc>
        <w:tc>
          <w:tcPr>
            <w:tcW w:w="0" w:type="auto"/>
            <w:shd w:val="clear" w:color="auto" w:fill="auto"/>
            <w:tcMar>
              <w:left w:w="108" w:type="dxa"/>
              <w:right w:w="108" w:type="dxa"/>
            </w:tcMar>
          </w:tcPr>
          <w:p w14:paraId="201A0D22" w14:textId="676E796F" w:rsidR="00661BBA" w:rsidRDefault="00661BBA" w:rsidP="00661BBA">
            <w:pPr>
              <w:pStyle w:val="TableText0"/>
            </w:pPr>
            <w:r w:rsidRPr="00325B0D">
              <w:rPr>
                <w:rFonts w:cstheme="minorHAnsi"/>
                <w:sz w:val="20"/>
                <w:szCs w:val="20"/>
              </w:rPr>
              <w:t>0.33</w:t>
            </w:r>
          </w:p>
        </w:tc>
        <w:tc>
          <w:tcPr>
            <w:tcW w:w="0" w:type="auto"/>
            <w:shd w:val="clear" w:color="auto" w:fill="auto"/>
            <w:tcMar>
              <w:left w:w="108" w:type="dxa"/>
              <w:right w:w="108" w:type="dxa"/>
            </w:tcMar>
          </w:tcPr>
          <w:p w14:paraId="2276A460" w14:textId="63B00DFE" w:rsidR="00661BBA" w:rsidRDefault="00661BBA" w:rsidP="00661BBA">
            <w:pPr>
              <w:pStyle w:val="TableText0"/>
            </w:pPr>
            <w:r w:rsidRPr="00325B0D">
              <w:rPr>
                <w:rFonts w:cstheme="minorHAnsi"/>
                <w:sz w:val="20"/>
                <w:szCs w:val="20"/>
              </w:rPr>
              <w:t>0.20</w:t>
            </w:r>
          </w:p>
        </w:tc>
        <w:tc>
          <w:tcPr>
            <w:tcW w:w="0" w:type="auto"/>
            <w:shd w:val="clear" w:color="auto" w:fill="auto"/>
            <w:tcMar>
              <w:left w:w="108" w:type="dxa"/>
              <w:right w:w="108" w:type="dxa"/>
            </w:tcMar>
          </w:tcPr>
          <w:p w14:paraId="3C8CB43E" w14:textId="01A2ED39" w:rsidR="00661BBA" w:rsidRDefault="00661BBA" w:rsidP="00661BBA">
            <w:pPr>
              <w:pStyle w:val="TableText0"/>
            </w:pPr>
            <w:r w:rsidRPr="00325B0D">
              <w:rPr>
                <w:rFonts w:cstheme="minorHAnsi"/>
                <w:sz w:val="20"/>
                <w:szCs w:val="20"/>
              </w:rPr>
              <w:t>DW</w:t>
            </w:r>
          </w:p>
        </w:tc>
        <w:tc>
          <w:tcPr>
            <w:tcW w:w="0" w:type="auto"/>
            <w:shd w:val="clear" w:color="auto" w:fill="auto"/>
          </w:tcPr>
          <w:p w14:paraId="7CEB7F4B" w14:textId="7CC504AD" w:rsidR="00661BBA" w:rsidRPr="00325B0D" w:rsidRDefault="00661BBA" w:rsidP="00661BBA">
            <w:pPr>
              <w:pStyle w:val="TableText0"/>
              <w:rPr>
                <w:rFonts w:cstheme="minorHAnsi"/>
                <w:sz w:val="20"/>
                <w:szCs w:val="20"/>
              </w:rPr>
            </w:pPr>
            <w:r w:rsidRPr="00325B0D">
              <w:rPr>
                <w:rFonts w:cstheme="minorHAnsi"/>
                <w:sz w:val="20"/>
                <w:szCs w:val="20"/>
              </w:rPr>
              <w:t>1.7</w:t>
            </w:r>
          </w:p>
        </w:tc>
        <w:tc>
          <w:tcPr>
            <w:tcW w:w="0" w:type="auto"/>
            <w:shd w:val="clear" w:color="auto" w:fill="auto"/>
          </w:tcPr>
          <w:p w14:paraId="717F591A" w14:textId="26301F9B" w:rsidR="00661BBA" w:rsidRPr="00325B0D" w:rsidRDefault="00661BBA" w:rsidP="00661BBA">
            <w:pPr>
              <w:pStyle w:val="TableText0"/>
              <w:rPr>
                <w:rFonts w:cstheme="minorHAnsi"/>
                <w:sz w:val="20"/>
                <w:szCs w:val="20"/>
              </w:rPr>
            </w:pPr>
            <w:r w:rsidRPr="00325B0D">
              <w:rPr>
                <w:rFonts w:cstheme="minorHAnsi"/>
                <w:sz w:val="20"/>
                <w:szCs w:val="20"/>
              </w:rPr>
              <w:t>Bao et al. 2020</w:t>
            </w:r>
          </w:p>
        </w:tc>
      </w:tr>
      <w:tr w:rsidR="00FB6CFC" w14:paraId="2A6CE68D" w14:textId="77777777" w:rsidTr="00F0584D">
        <w:tc>
          <w:tcPr>
            <w:tcW w:w="0" w:type="auto"/>
            <w:vMerge w:val="restart"/>
          </w:tcPr>
          <w:p w14:paraId="4089B9CD" w14:textId="307E3E37" w:rsidR="00FB6CFC" w:rsidRDefault="00FB6CFC" w:rsidP="00FB6CFC">
            <w:pPr>
              <w:pStyle w:val="TableText0"/>
            </w:pPr>
            <w:r>
              <w:t>Other</w:t>
            </w:r>
          </w:p>
        </w:tc>
        <w:tc>
          <w:tcPr>
            <w:tcW w:w="0" w:type="auto"/>
            <w:shd w:val="clear" w:color="auto" w:fill="auto"/>
            <w:tcMar>
              <w:left w:w="108" w:type="dxa"/>
              <w:right w:w="108" w:type="dxa"/>
            </w:tcMar>
          </w:tcPr>
          <w:p w14:paraId="7EA9C480" w14:textId="5F545066" w:rsidR="00FB6CFC" w:rsidRPr="00B11D37" w:rsidRDefault="00FB6CFC" w:rsidP="00FB6CFC">
            <w:pPr>
              <w:pStyle w:val="TableText0"/>
              <w:rPr>
                <w:rFonts w:cstheme="minorHAnsi"/>
                <w:b/>
                <w:bCs/>
                <w:sz w:val="20"/>
                <w:szCs w:val="20"/>
              </w:rPr>
            </w:pPr>
            <w:r w:rsidRPr="00325B0D">
              <w:rPr>
                <w:rFonts w:cstheme="minorHAnsi"/>
                <w:sz w:val="20"/>
                <w:szCs w:val="20"/>
              </w:rPr>
              <w:t xml:space="preserve">Alfalfa shoot </w:t>
            </w:r>
            <w:r w:rsidR="00E61C3A" w:rsidRPr="00C535CF">
              <w:rPr>
                <w:sz w:val="20"/>
                <w:szCs w:val="20"/>
                <w:vertAlign w:val="superscript"/>
              </w:rPr>
              <w:t>a</w:t>
            </w:r>
          </w:p>
        </w:tc>
        <w:tc>
          <w:tcPr>
            <w:tcW w:w="0" w:type="auto"/>
            <w:shd w:val="clear" w:color="auto" w:fill="auto"/>
            <w:tcMar>
              <w:left w:w="108" w:type="dxa"/>
              <w:right w:w="108" w:type="dxa"/>
            </w:tcMar>
          </w:tcPr>
          <w:p w14:paraId="51E44E8C" w14:textId="14474A37" w:rsidR="00FB6CFC" w:rsidRPr="00B11D37" w:rsidRDefault="00FB6CFC" w:rsidP="00FB6CFC">
            <w:pPr>
              <w:pStyle w:val="TableText0"/>
              <w:rPr>
                <w:rFonts w:cstheme="minorHAnsi"/>
                <w:b/>
                <w:bCs/>
                <w:sz w:val="20"/>
                <w:szCs w:val="20"/>
              </w:rPr>
            </w:pPr>
            <w:r w:rsidRPr="00325B0D">
              <w:rPr>
                <w:rFonts w:cstheme="minorHAnsi"/>
                <w:sz w:val="20"/>
                <w:szCs w:val="20"/>
              </w:rPr>
              <w:t>12</w:t>
            </w:r>
          </w:p>
        </w:tc>
        <w:tc>
          <w:tcPr>
            <w:tcW w:w="0" w:type="auto"/>
            <w:shd w:val="clear" w:color="auto" w:fill="auto"/>
            <w:tcMar>
              <w:left w:w="108" w:type="dxa"/>
              <w:right w:w="108" w:type="dxa"/>
            </w:tcMar>
          </w:tcPr>
          <w:p w14:paraId="3EA62800" w14:textId="53964498" w:rsidR="00FB6CFC" w:rsidRPr="00B11D37" w:rsidRDefault="00FB6CFC" w:rsidP="00FB6CFC">
            <w:pPr>
              <w:pStyle w:val="TableText0"/>
              <w:rPr>
                <w:rFonts w:cstheme="minorHAnsi"/>
                <w:b/>
                <w:bCs/>
                <w:sz w:val="20"/>
                <w:szCs w:val="20"/>
              </w:rPr>
            </w:pPr>
            <w:r w:rsidRPr="00325B0D">
              <w:rPr>
                <w:rFonts w:cstheme="minorHAnsi"/>
                <w:sz w:val="20"/>
                <w:szCs w:val="20"/>
              </w:rPr>
              <w:t>1.4</w:t>
            </w:r>
          </w:p>
        </w:tc>
        <w:tc>
          <w:tcPr>
            <w:tcW w:w="0" w:type="auto"/>
            <w:shd w:val="clear" w:color="auto" w:fill="auto"/>
            <w:tcMar>
              <w:left w:w="108" w:type="dxa"/>
              <w:right w:w="108" w:type="dxa"/>
            </w:tcMar>
          </w:tcPr>
          <w:p w14:paraId="07596B5C" w14:textId="0F8301B3" w:rsidR="00FB6CFC" w:rsidRPr="00B11D37" w:rsidRDefault="00FB6CFC" w:rsidP="00FB6CFC">
            <w:pPr>
              <w:pStyle w:val="TableText0"/>
              <w:rPr>
                <w:rFonts w:cstheme="minorHAnsi"/>
                <w:b/>
                <w:bCs/>
                <w:sz w:val="20"/>
                <w:szCs w:val="20"/>
              </w:rPr>
            </w:pPr>
            <w:r w:rsidRPr="00325B0D">
              <w:rPr>
                <w:rFonts w:cstheme="minorHAnsi"/>
                <w:sz w:val="20"/>
                <w:szCs w:val="20"/>
              </w:rPr>
              <w:t>DW</w:t>
            </w:r>
          </w:p>
        </w:tc>
        <w:tc>
          <w:tcPr>
            <w:tcW w:w="0" w:type="auto"/>
            <w:shd w:val="clear" w:color="auto" w:fill="auto"/>
          </w:tcPr>
          <w:p w14:paraId="0C78565B" w14:textId="7CF566A4" w:rsidR="00FB6CFC" w:rsidRPr="00B11D37" w:rsidRDefault="00FB6CFC" w:rsidP="00FB6CFC">
            <w:pPr>
              <w:pStyle w:val="TableText0"/>
              <w:rPr>
                <w:rFonts w:cstheme="minorHAnsi"/>
                <w:b/>
                <w:bCs/>
                <w:sz w:val="20"/>
                <w:szCs w:val="20"/>
              </w:rPr>
            </w:pPr>
            <w:r w:rsidRPr="00325B0D">
              <w:rPr>
                <w:rFonts w:cstheme="minorHAnsi"/>
                <w:sz w:val="20"/>
                <w:szCs w:val="20"/>
              </w:rPr>
              <w:t>9</w:t>
            </w:r>
          </w:p>
        </w:tc>
        <w:tc>
          <w:tcPr>
            <w:tcW w:w="0" w:type="auto"/>
            <w:shd w:val="clear" w:color="auto" w:fill="auto"/>
          </w:tcPr>
          <w:p w14:paraId="7F95A1CB" w14:textId="5BF8F2E2" w:rsidR="00FB6CFC" w:rsidRPr="00B11D37" w:rsidRDefault="00FB6CFC" w:rsidP="00FB6CFC">
            <w:pPr>
              <w:pStyle w:val="TableText0"/>
              <w:rPr>
                <w:rFonts w:cstheme="minorHAnsi"/>
                <w:b/>
                <w:bCs/>
                <w:sz w:val="20"/>
                <w:szCs w:val="20"/>
              </w:rPr>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FB6CFC" w14:paraId="2A0440A5" w14:textId="77777777" w:rsidTr="00F0584D">
        <w:tc>
          <w:tcPr>
            <w:tcW w:w="0" w:type="auto"/>
            <w:vMerge/>
          </w:tcPr>
          <w:p w14:paraId="2ED5882A" w14:textId="77777777" w:rsidR="00FB6CFC" w:rsidRDefault="00FB6CFC" w:rsidP="00FB6CFC">
            <w:pPr>
              <w:pStyle w:val="TableText0"/>
            </w:pPr>
          </w:p>
        </w:tc>
        <w:tc>
          <w:tcPr>
            <w:tcW w:w="0" w:type="auto"/>
            <w:shd w:val="clear" w:color="auto" w:fill="auto"/>
            <w:tcMar>
              <w:left w:w="108" w:type="dxa"/>
              <w:right w:w="108" w:type="dxa"/>
            </w:tcMar>
          </w:tcPr>
          <w:p w14:paraId="50D57E09" w14:textId="6452126B" w:rsidR="00FB6CFC" w:rsidRPr="00325B0D" w:rsidRDefault="00FB6CFC" w:rsidP="00FB6CFC">
            <w:pPr>
              <w:pStyle w:val="TableText0"/>
              <w:rPr>
                <w:rFonts w:cstheme="minorHAnsi"/>
                <w:sz w:val="20"/>
                <w:szCs w:val="20"/>
              </w:rPr>
            </w:pPr>
            <w:r w:rsidRPr="00325B0D">
              <w:rPr>
                <w:rFonts w:cstheme="minorHAnsi"/>
                <w:sz w:val="20"/>
                <w:szCs w:val="20"/>
              </w:rPr>
              <w:t xml:space="preserve">Alfalfa root </w:t>
            </w:r>
            <w:r w:rsidR="00E61C3A" w:rsidRPr="00C535CF">
              <w:rPr>
                <w:sz w:val="20"/>
                <w:szCs w:val="20"/>
                <w:vertAlign w:val="superscript"/>
              </w:rPr>
              <w:t>a</w:t>
            </w:r>
          </w:p>
        </w:tc>
        <w:tc>
          <w:tcPr>
            <w:tcW w:w="0" w:type="auto"/>
            <w:shd w:val="clear" w:color="auto" w:fill="auto"/>
            <w:tcMar>
              <w:left w:w="108" w:type="dxa"/>
              <w:right w:w="108" w:type="dxa"/>
            </w:tcMar>
          </w:tcPr>
          <w:p w14:paraId="295103C0" w14:textId="1947459A" w:rsidR="00FB6CFC" w:rsidRPr="00325B0D" w:rsidRDefault="00FB6CFC" w:rsidP="00FB6CFC">
            <w:pPr>
              <w:pStyle w:val="TableText0"/>
              <w:rPr>
                <w:rFonts w:cstheme="minorHAnsi"/>
                <w:sz w:val="20"/>
                <w:szCs w:val="20"/>
              </w:rPr>
            </w:pPr>
            <w:r w:rsidRPr="00325B0D">
              <w:rPr>
                <w:rFonts w:cstheme="minorHAnsi"/>
                <w:sz w:val="20"/>
                <w:szCs w:val="20"/>
              </w:rPr>
              <w:t>11</w:t>
            </w:r>
          </w:p>
        </w:tc>
        <w:tc>
          <w:tcPr>
            <w:tcW w:w="0" w:type="auto"/>
            <w:shd w:val="clear" w:color="auto" w:fill="auto"/>
            <w:tcMar>
              <w:left w:w="108" w:type="dxa"/>
              <w:right w:w="108" w:type="dxa"/>
            </w:tcMar>
          </w:tcPr>
          <w:p w14:paraId="2409A67B" w14:textId="38169E36" w:rsidR="00FB6CFC" w:rsidRPr="00325B0D" w:rsidRDefault="00FB6CFC" w:rsidP="00FB6CFC">
            <w:pPr>
              <w:pStyle w:val="TableText0"/>
              <w:rPr>
                <w:rFonts w:cstheme="minorHAnsi"/>
                <w:sz w:val="20"/>
                <w:szCs w:val="20"/>
              </w:rPr>
            </w:pPr>
            <w:r w:rsidRPr="00325B0D">
              <w:rPr>
                <w:rFonts w:cstheme="minorHAnsi"/>
                <w:sz w:val="20"/>
                <w:szCs w:val="20"/>
              </w:rPr>
              <w:t>4.3</w:t>
            </w:r>
          </w:p>
        </w:tc>
        <w:tc>
          <w:tcPr>
            <w:tcW w:w="0" w:type="auto"/>
            <w:shd w:val="clear" w:color="auto" w:fill="auto"/>
            <w:tcMar>
              <w:left w:w="108" w:type="dxa"/>
              <w:right w:w="108" w:type="dxa"/>
            </w:tcMar>
          </w:tcPr>
          <w:p w14:paraId="21448C56" w14:textId="2869FD66" w:rsidR="00FB6CFC" w:rsidRPr="00325B0D" w:rsidRDefault="00FB6CFC" w:rsidP="00FB6CFC">
            <w:pPr>
              <w:pStyle w:val="TableText0"/>
              <w:rPr>
                <w:rFonts w:cstheme="minorHAnsi"/>
                <w:sz w:val="20"/>
                <w:szCs w:val="20"/>
              </w:rPr>
            </w:pPr>
            <w:r w:rsidRPr="00325B0D">
              <w:rPr>
                <w:rFonts w:cstheme="minorHAnsi"/>
                <w:sz w:val="20"/>
                <w:szCs w:val="20"/>
              </w:rPr>
              <w:t>DW</w:t>
            </w:r>
          </w:p>
        </w:tc>
        <w:tc>
          <w:tcPr>
            <w:tcW w:w="0" w:type="auto"/>
            <w:shd w:val="clear" w:color="auto" w:fill="auto"/>
          </w:tcPr>
          <w:p w14:paraId="5DC875F0" w14:textId="5BFBE9D3" w:rsidR="00FB6CFC" w:rsidRPr="00325B0D" w:rsidRDefault="00FB6CFC" w:rsidP="00FB6CFC">
            <w:pPr>
              <w:pStyle w:val="TableText0"/>
              <w:rPr>
                <w:rFonts w:cstheme="minorHAnsi"/>
                <w:sz w:val="20"/>
                <w:szCs w:val="20"/>
              </w:rPr>
            </w:pPr>
            <w:r w:rsidRPr="00325B0D">
              <w:rPr>
                <w:rFonts w:cstheme="minorHAnsi"/>
                <w:sz w:val="20"/>
                <w:szCs w:val="20"/>
              </w:rPr>
              <w:t>2.6</w:t>
            </w:r>
          </w:p>
        </w:tc>
        <w:tc>
          <w:tcPr>
            <w:tcW w:w="0" w:type="auto"/>
            <w:shd w:val="clear" w:color="auto" w:fill="auto"/>
          </w:tcPr>
          <w:p w14:paraId="6E6168F4" w14:textId="79A44A05" w:rsidR="00FB6CFC" w:rsidRPr="00325B0D" w:rsidRDefault="00FB6CFC" w:rsidP="00FB6CFC">
            <w:pPr>
              <w:pStyle w:val="TableText0"/>
              <w:rPr>
                <w:rFonts w:cstheme="minorHAnsi"/>
                <w:sz w:val="20"/>
                <w:szCs w:val="20"/>
              </w:rPr>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FB6CFC" w14:paraId="4C407A6B" w14:textId="77777777" w:rsidTr="00F0584D">
        <w:tc>
          <w:tcPr>
            <w:tcW w:w="0" w:type="auto"/>
            <w:vMerge/>
          </w:tcPr>
          <w:p w14:paraId="0030B1EB" w14:textId="77777777" w:rsidR="00FB6CFC" w:rsidRDefault="00FB6CFC" w:rsidP="00FB6CFC">
            <w:pPr>
              <w:pStyle w:val="TableText0"/>
            </w:pPr>
          </w:p>
        </w:tc>
        <w:tc>
          <w:tcPr>
            <w:tcW w:w="0" w:type="auto"/>
            <w:shd w:val="clear" w:color="auto" w:fill="auto"/>
            <w:tcMar>
              <w:left w:w="108" w:type="dxa"/>
              <w:right w:w="108" w:type="dxa"/>
            </w:tcMar>
          </w:tcPr>
          <w:p w14:paraId="67262BC8" w14:textId="09BCA65A" w:rsidR="00FB6CFC" w:rsidRPr="00325B0D" w:rsidRDefault="00FB6CFC" w:rsidP="00FB6CFC">
            <w:pPr>
              <w:pStyle w:val="TableText0"/>
              <w:rPr>
                <w:rFonts w:cstheme="minorHAnsi"/>
                <w:sz w:val="20"/>
                <w:szCs w:val="20"/>
              </w:rPr>
            </w:pPr>
            <w:r w:rsidRPr="00325B0D">
              <w:rPr>
                <w:rFonts w:cstheme="minorHAnsi"/>
                <w:sz w:val="20"/>
                <w:szCs w:val="20"/>
              </w:rPr>
              <w:t xml:space="preserve">Radish shoot </w:t>
            </w:r>
            <w:r w:rsidR="00E61C3A" w:rsidRPr="00C535CF">
              <w:rPr>
                <w:sz w:val="20"/>
                <w:szCs w:val="20"/>
                <w:vertAlign w:val="superscript"/>
              </w:rPr>
              <w:t>a</w:t>
            </w:r>
          </w:p>
        </w:tc>
        <w:tc>
          <w:tcPr>
            <w:tcW w:w="0" w:type="auto"/>
            <w:shd w:val="clear" w:color="auto" w:fill="auto"/>
            <w:tcMar>
              <w:left w:w="108" w:type="dxa"/>
              <w:right w:w="108" w:type="dxa"/>
            </w:tcMar>
          </w:tcPr>
          <w:p w14:paraId="3E6A8654" w14:textId="1A2961EC" w:rsidR="00FB6CFC" w:rsidRPr="00325B0D" w:rsidRDefault="00FB6CFC" w:rsidP="00FB6CFC">
            <w:pPr>
              <w:pStyle w:val="TableText0"/>
              <w:rPr>
                <w:rFonts w:cstheme="minorHAnsi"/>
                <w:sz w:val="20"/>
                <w:szCs w:val="20"/>
              </w:rPr>
            </w:pPr>
            <w:r w:rsidRPr="00325B0D">
              <w:rPr>
                <w:rFonts w:cstheme="minorHAnsi"/>
                <w:sz w:val="20"/>
                <w:szCs w:val="20"/>
              </w:rPr>
              <w:t>33</w:t>
            </w:r>
          </w:p>
        </w:tc>
        <w:tc>
          <w:tcPr>
            <w:tcW w:w="0" w:type="auto"/>
            <w:shd w:val="clear" w:color="auto" w:fill="auto"/>
            <w:tcMar>
              <w:left w:w="108" w:type="dxa"/>
              <w:right w:w="108" w:type="dxa"/>
            </w:tcMar>
          </w:tcPr>
          <w:p w14:paraId="17B0113F" w14:textId="14B818F4" w:rsidR="00FB6CFC" w:rsidRPr="00325B0D" w:rsidRDefault="00FB6CFC" w:rsidP="00FB6CFC">
            <w:pPr>
              <w:pStyle w:val="TableText0"/>
              <w:rPr>
                <w:rFonts w:cstheme="minorHAnsi"/>
                <w:sz w:val="20"/>
                <w:szCs w:val="20"/>
              </w:rPr>
            </w:pPr>
            <w:r w:rsidRPr="00325B0D">
              <w:rPr>
                <w:rFonts w:cstheme="minorHAnsi"/>
                <w:sz w:val="20"/>
                <w:szCs w:val="20"/>
              </w:rPr>
              <w:t>10</w:t>
            </w:r>
          </w:p>
        </w:tc>
        <w:tc>
          <w:tcPr>
            <w:tcW w:w="0" w:type="auto"/>
            <w:shd w:val="clear" w:color="auto" w:fill="auto"/>
            <w:tcMar>
              <w:left w:w="108" w:type="dxa"/>
              <w:right w:w="108" w:type="dxa"/>
            </w:tcMar>
          </w:tcPr>
          <w:p w14:paraId="5892515C" w14:textId="667C4C97" w:rsidR="00FB6CFC" w:rsidRPr="00325B0D" w:rsidRDefault="00FB6CFC" w:rsidP="00FB6CFC">
            <w:pPr>
              <w:pStyle w:val="TableText0"/>
              <w:rPr>
                <w:rFonts w:cstheme="minorHAnsi"/>
                <w:sz w:val="20"/>
                <w:szCs w:val="20"/>
              </w:rPr>
            </w:pPr>
            <w:r w:rsidRPr="00325B0D">
              <w:rPr>
                <w:rFonts w:cstheme="minorHAnsi"/>
                <w:sz w:val="20"/>
                <w:szCs w:val="20"/>
              </w:rPr>
              <w:t>DW</w:t>
            </w:r>
          </w:p>
        </w:tc>
        <w:tc>
          <w:tcPr>
            <w:tcW w:w="0" w:type="auto"/>
            <w:shd w:val="clear" w:color="auto" w:fill="auto"/>
          </w:tcPr>
          <w:p w14:paraId="00482E76" w14:textId="2BA3B349" w:rsidR="00FB6CFC" w:rsidRPr="00325B0D" w:rsidRDefault="00FB6CFC" w:rsidP="00FB6CFC">
            <w:pPr>
              <w:pStyle w:val="TableText0"/>
              <w:rPr>
                <w:rFonts w:cstheme="minorHAnsi"/>
                <w:sz w:val="20"/>
                <w:szCs w:val="20"/>
              </w:rPr>
            </w:pPr>
            <w:r w:rsidRPr="00325B0D">
              <w:rPr>
                <w:rFonts w:cstheme="minorHAnsi"/>
                <w:sz w:val="20"/>
                <w:szCs w:val="20"/>
              </w:rPr>
              <w:t>3.3</w:t>
            </w:r>
          </w:p>
        </w:tc>
        <w:tc>
          <w:tcPr>
            <w:tcW w:w="0" w:type="auto"/>
            <w:shd w:val="clear" w:color="auto" w:fill="auto"/>
          </w:tcPr>
          <w:p w14:paraId="6C2B17E4" w14:textId="7D1DE0B2" w:rsidR="00FB6CFC" w:rsidRPr="00325B0D" w:rsidRDefault="00FB6CFC" w:rsidP="00FB6CFC">
            <w:pPr>
              <w:pStyle w:val="TableText0"/>
              <w:rPr>
                <w:rFonts w:cstheme="minorHAnsi"/>
                <w:sz w:val="20"/>
                <w:szCs w:val="20"/>
              </w:rPr>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FB6CFC" w14:paraId="70005E06" w14:textId="77777777" w:rsidTr="00F0584D">
        <w:tc>
          <w:tcPr>
            <w:tcW w:w="0" w:type="auto"/>
            <w:vMerge/>
          </w:tcPr>
          <w:p w14:paraId="60A53502" w14:textId="77777777" w:rsidR="00FB6CFC" w:rsidRDefault="00FB6CFC" w:rsidP="00FB6CFC">
            <w:pPr>
              <w:pStyle w:val="TableText0"/>
            </w:pPr>
          </w:p>
        </w:tc>
        <w:tc>
          <w:tcPr>
            <w:tcW w:w="0" w:type="auto"/>
            <w:shd w:val="clear" w:color="auto" w:fill="auto"/>
            <w:tcMar>
              <w:left w:w="108" w:type="dxa"/>
              <w:right w:w="108" w:type="dxa"/>
            </w:tcMar>
          </w:tcPr>
          <w:p w14:paraId="3CEF7B46" w14:textId="33C81F5E" w:rsidR="00FB6CFC" w:rsidRPr="00325B0D" w:rsidRDefault="00FB6CFC" w:rsidP="00FB6CFC">
            <w:pPr>
              <w:pStyle w:val="TableText0"/>
              <w:rPr>
                <w:rFonts w:cstheme="minorHAnsi"/>
                <w:sz w:val="20"/>
                <w:szCs w:val="20"/>
              </w:rPr>
            </w:pPr>
            <w:r w:rsidRPr="00325B0D">
              <w:rPr>
                <w:rFonts w:cstheme="minorHAnsi"/>
                <w:sz w:val="20"/>
                <w:szCs w:val="20"/>
              </w:rPr>
              <w:t xml:space="preserve">Carrot shoot </w:t>
            </w:r>
            <w:r w:rsidR="00E61C3A" w:rsidRPr="00C535CF">
              <w:rPr>
                <w:sz w:val="20"/>
                <w:szCs w:val="20"/>
                <w:vertAlign w:val="superscript"/>
              </w:rPr>
              <w:t>a</w:t>
            </w:r>
          </w:p>
        </w:tc>
        <w:tc>
          <w:tcPr>
            <w:tcW w:w="0" w:type="auto"/>
            <w:shd w:val="clear" w:color="auto" w:fill="auto"/>
            <w:tcMar>
              <w:left w:w="108" w:type="dxa"/>
              <w:right w:w="108" w:type="dxa"/>
            </w:tcMar>
          </w:tcPr>
          <w:p w14:paraId="4A58F556" w14:textId="6A24FB3E" w:rsidR="00FB6CFC" w:rsidRPr="00325B0D" w:rsidRDefault="00FB6CFC" w:rsidP="00FB6CFC">
            <w:pPr>
              <w:pStyle w:val="TableText0"/>
              <w:rPr>
                <w:rFonts w:cstheme="minorHAnsi"/>
                <w:sz w:val="20"/>
                <w:szCs w:val="20"/>
              </w:rPr>
            </w:pPr>
            <w:r w:rsidRPr="00325B0D">
              <w:rPr>
                <w:rFonts w:cstheme="minorHAnsi"/>
                <w:sz w:val="20"/>
                <w:szCs w:val="20"/>
              </w:rPr>
              <w:t>28</w:t>
            </w:r>
          </w:p>
        </w:tc>
        <w:tc>
          <w:tcPr>
            <w:tcW w:w="0" w:type="auto"/>
            <w:shd w:val="clear" w:color="auto" w:fill="auto"/>
            <w:tcMar>
              <w:left w:w="108" w:type="dxa"/>
              <w:right w:w="108" w:type="dxa"/>
            </w:tcMar>
          </w:tcPr>
          <w:p w14:paraId="51C8B3F7" w14:textId="284B40A0" w:rsidR="00FB6CFC" w:rsidRPr="00325B0D" w:rsidRDefault="00FB6CFC" w:rsidP="00FB6CFC">
            <w:pPr>
              <w:pStyle w:val="TableText0"/>
              <w:rPr>
                <w:rFonts w:cstheme="minorHAnsi"/>
                <w:sz w:val="20"/>
                <w:szCs w:val="20"/>
              </w:rPr>
            </w:pPr>
            <w:r w:rsidRPr="00325B0D">
              <w:rPr>
                <w:rFonts w:cstheme="minorHAnsi"/>
                <w:sz w:val="20"/>
                <w:szCs w:val="20"/>
              </w:rPr>
              <w:t>23</w:t>
            </w:r>
          </w:p>
        </w:tc>
        <w:tc>
          <w:tcPr>
            <w:tcW w:w="0" w:type="auto"/>
            <w:shd w:val="clear" w:color="auto" w:fill="auto"/>
            <w:tcMar>
              <w:left w:w="108" w:type="dxa"/>
              <w:right w:w="108" w:type="dxa"/>
            </w:tcMar>
          </w:tcPr>
          <w:p w14:paraId="1BACEEC3" w14:textId="5FAA02DE" w:rsidR="00FB6CFC" w:rsidRPr="00325B0D" w:rsidRDefault="00FB6CFC" w:rsidP="00FB6CFC">
            <w:pPr>
              <w:pStyle w:val="TableText0"/>
              <w:rPr>
                <w:rFonts w:cstheme="minorHAnsi"/>
                <w:sz w:val="20"/>
                <w:szCs w:val="20"/>
              </w:rPr>
            </w:pPr>
            <w:r w:rsidRPr="00325B0D">
              <w:rPr>
                <w:rFonts w:cstheme="minorHAnsi"/>
                <w:sz w:val="20"/>
                <w:szCs w:val="20"/>
              </w:rPr>
              <w:t>DW</w:t>
            </w:r>
          </w:p>
        </w:tc>
        <w:tc>
          <w:tcPr>
            <w:tcW w:w="0" w:type="auto"/>
            <w:shd w:val="clear" w:color="auto" w:fill="auto"/>
          </w:tcPr>
          <w:p w14:paraId="5450751F" w14:textId="735AED49" w:rsidR="00FB6CFC" w:rsidRPr="00325B0D" w:rsidRDefault="00FB6CFC" w:rsidP="00FB6CFC">
            <w:pPr>
              <w:pStyle w:val="TableText0"/>
              <w:rPr>
                <w:rFonts w:cstheme="minorHAnsi"/>
                <w:sz w:val="20"/>
                <w:szCs w:val="20"/>
              </w:rPr>
            </w:pPr>
            <w:r w:rsidRPr="00325B0D">
              <w:rPr>
                <w:rFonts w:cstheme="minorHAnsi"/>
                <w:sz w:val="20"/>
                <w:szCs w:val="20"/>
              </w:rPr>
              <w:t>1.2</w:t>
            </w:r>
          </w:p>
        </w:tc>
        <w:tc>
          <w:tcPr>
            <w:tcW w:w="0" w:type="auto"/>
            <w:shd w:val="clear" w:color="auto" w:fill="auto"/>
          </w:tcPr>
          <w:p w14:paraId="2DAA0EA3" w14:textId="47CC08C5" w:rsidR="00FB6CFC" w:rsidRPr="00325B0D" w:rsidRDefault="00FB6CFC" w:rsidP="00FB6CFC">
            <w:pPr>
              <w:pStyle w:val="TableText0"/>
              <w:rPr>
                <w:rFonts w:cstheme="minorHAnsi"/>
                <w:sz w:val="20"/>
                <w:szCs w:val="20"/>
              </w:rPr>
            </w:pPr>
            <w:proofErr w:type="spellStart"/>
            <w:r w:rsidRPr="00325B0D">
              <w:rPr>
                <w:rFonts w:cstheme="minorHAnsi"/>
                <w:sz w:val="20"/>
                <w:szCs w:val="20"/>
              </w:rPr>
              <w:t>Lasee</w:t>
            </w:r>
            <w:proofErr w:type="spellEnd"/>
            <w:r w:rsidRPr="00325B0D">
              <w:rPr>
                <w:rFonts w:cstheme="minorHAnsi"/>
                <w:sz w:val="20"/>
                <w:szCs w:val="20"/>
              </w:rPr>
              <w:t xml:space="preserve"> et al. 2019</w:t>
            </w:r>
          </w:p>
        </w:tc>
      </w:tr>
      <w:tr w:rsidR="00FB6CFC" w14:paraId="707385C1" w14:textId="77777777" w:rsidTr="00F0584D">
        <w:tc>
          <w:tcPr>
            <w:tcW w:w="0" w:type="auto"/>
            <w:vMerge/>
          </w:tcPr>
          <w:p w14:paraId="59241213" w14:textId="77777777" w:rsidR="00FB6CFC" w:rsidRDefault="00FB6CFC" w:rsidP="00FB6CFC">
            <w:pPr>
              <w:pStyle w:val="TableText0"/>
            </w:pPr>
          </w:p>
        </w:tc>
        <w:tc>
          <w:tcPr>
            <w:tcW w:w="0" w:type="auto"/>
            <w:tcMar>
              <w:left w:w="108" w:type="dxa"/>
              <w:right w:w="108" w:type="dxa"/>
            </w:tcMar>
          </w:tcPr>
          <w:p w14:paraId="57D65385" w14:textId="025FC36E" w:rsidR="00FB6CFC" w:rsidRPr="00325B0D" w:rsidRDefault="00FB6CFC" w:rsidP="00FB6CFC">
            <w:pPr>
              <w:pStyle w:val="TableText0"/>
              <w:rPr>
                <w:rFonts w:cstheme="minorHAnsi"/>
                <w:sz w:val="20"/>
                <w:szCs w:val="20"/>
              </w:rPr>
            </w:pPr>
            <w:r w:rsidRPr="00325B0D">
              <w:rPr>
                <w:rFonts w:cstheme="minorHAnsi"/>
                <w:sz w:val="20"/>
                <w:szCs w:val="20"/>
              </w:rPr>
              <w:t>Zucchini stems/leaves</w:t>
            </w:r>
          </w:p>
        </w:tc>
        <w:tc>
          <w:tcPr>
            <w:tcW w:w="0" w:type="auto"/>
            <w:tcMar>
              <w:left w:w="108" w:type="dxa"/>
              <w:right w:w="108" w:type="dxa"/>
            </w:tcMar>
          </w:tcPr>
          <w:p w14:paraId="544EEF61" w14:textId="5668C466" w:rsidR="00FB6CFC" w:rsidRPr="00325B0D" w:rsidRDefault="00FB6CFC" w:rsidP="00FB6CFC">
            <w:pPr>
              <w:pStyle w:val="TableText0"/>
              <w:rPr>
                <w:rFonts w:cstheme="minorHAnsi"/>
                <w:sz w:val="20"/>
                <w:szCs w:val="20"/>
              </w:rPr>
            </w:pPr>
            <w:r w:rsidRPr="00325B0D">
              <w:rPr>
                <w:rFonts w:cstheme="minorHAnsi"/>
                <w:sz w:val="20"/>
                <w:szCs w:val="20"/>
              </w:rPr>
              <w:t>0.20, 0.47</w:t>
            </w:r>
          </w:p>
        </w:tc>
        <w:tc>
          <w:tcPr>
            <w:tcW w:w="0" w:type="auto"/>
            <w:tcMar>
              <w:left w:w="108" w:type="dxa"/>
              <w:right w:w="108" w:type="dxa"/>
            </w:tcMar>
          </w:tcPr>
          <w:p w14:paraId="734242D0" w14:textId="12ADAFB9" w:rsidR="00FB6CFC" w:rsidRPr="00325B0D" w:rsidRDefault="00FB6CFC" w:rsidP="00FB6CFC">
            <w:pPr>
              <w:pStyle w:val="TableText0"/>
              <w:rPr>
                <w:rFonts w:cstheme="minorHAnsi"/>
                <w:sz w:val="20"/>
                <w:szCs w:val="20"/>
              </w:rPr>
            </w:pPr>
            <w:r w:rsidRPr="00325B0D">
              <w:rPr>
                <w:rFonts w:cstheme="minorHAnsi"/>
                <w:sz w:val="20"/>
                <w:szCs w:val="20"/>
              </w:rPr>
              <w:t>2.3, 4.2</w:t>
            </w:r>
          </w:p>
        </w:tc>
        <w:tc>
          <w:tcPr>
            <w:tcW w:w="0" w:type="auto"/>
            <w:tcMar>
              <w:left w:w="108" w:type="dxa"/>
              <w:right w:w="108" w:type="dxa"/>
            </w:tcMar>
          </w:tcPr>
          <w:p w14:paraId="500A18F4" w14:textId="6F66E31F" w:rsidR="00FB6CFC" w:rsidRPr="00325B0D" w:rsidRDefault="00FB6CFC" w:rsidP="00FB6CFC">
            <w:pPr>
              <w:pStyle w:val="TableText0"/>
              <w:rPr>
                <w:rFonts w:cstheme="minorHAnsi"/>
                <w:sz w:val="20"/>
                <w:szCs w:val="20"/>
              </w:rPr>
            </w:pPr>
            <w:r w:rsidRPr="00325B0D">
              <w:rPr>
                <w:rFonts w:cstheme="minorHAnsi"/>
                <w:sz w:val="20"/>
                <w:szCs w:val="20"/>
              </w:rPr>
              <w:t>DW</w:t>
            </w:r>
          </w:p>
        </w:tc>
        <w:tc>
          <w:tcPr>
            <w:tcW w:w="0" w:type="auto"/>
          </w:tcPr>
          <w:p w14:paraId="2E6C17FE" w14:textId="57F4E388" w:rsidR="00FB6CFC" w:rsidRPr="00325B0D" w:rsidRDefault="00FB6CFC" w:rsidP="00FB6CFC">
            <w:pPr>
              <w:pStyle w:val="TableText0"/>
              <w:rPr>
                <w:rFonts w:cstheme="minorHAnsi"/>
                <w:sz w:val="20"/>
                <w:szCs w:val="20"/>
              </w:rPr>
            </w:pPr>
            <w:r w:rsidRPr="00325B0D">
              <w:rPr>
                <w:rFonts w:cstheme="minorHAnsi"/>
                <w:sz w:val="20"/>
                <w:szCs w:val="20"/>
              </w:rPr>
              <w:t>8.8, 12</w:t>
            </w:r>
          </w:p>
        </w:tc>
        <w:tc>
          <w:tcPr>
            <w:tcW w:w="0" w:type="auto"/>
          </w:tcPr>
          <w:p w14:paraId="03E12C77" w14:textId="3E6A1ECC" w:rsidR="00FB6CFC" w:rsidRPr="00325B0D" w:rsidRDefault="00FB6CFC" w:rsidP="00FB6CFC">
            <w:pPr>
              <w:pStyle w:val="TableText0"/>
              <w:rPr>
                <w:rFonts w:cstheme="minorHAnsi"/>
                <w:sz w:val="20"/>
                <w:szCs w:val="20"/>
              </w:rPr>
            </w:pPr>
            <w:proofErr w:type="spellStart"/>
            <w:r w:rsidRPr="00325B0D">
              <w:rPr>
                <w:rFonts w:cstheme="minorHAnsi"/>
                <w:sz w:val="20"/>
                <w:szCs w:val="20"/>
              </w:rPr>
              <w:t>Moshfeghi</w:t>
            </w:r>
            <w:proofErr w:type="spellEnd"/>
            <w:r w:rsidRPr="00325B0D">
              <w:rPr>
                <w:rFonts w:cstheme="minorHAnsi"/>
                <w:sz w:val="20"/>
                <w:szCs w:val="20"/>
              </w:rPr>
              <w:t xml:space="preserve"> 2015</w:t>
            </w:r>
          </w:p>
        </w:tc>
      </w:tr>
      <w:tr w:rsidR="00FB6CFC" w14:paraId="16F3019D" w14:textId="77777777" w:rsidTr="00F0584D">
        <w:tc>
          <w:tcPr>
            <w:tcW w:w="0" w:type="auto"/>
            <w:vMerge/>
          </w:tcPr>
          <w:p w14:paraId="58645D63" w14:textId="77777777" w:rsidR="00FB6CFC" w:rsidRDefault="00FB6CFC" w:rsidP="00FB6CFC">
            <w:pPr>
              <w:pStyle w:val="TableText0"/>
            </w:pPr>
          </w:p>
        </w:tc>
        <w:tc>
          <w:tcPr>
            <w:tcW w:w="0" w:type="auto"/>
            <w:tcMar>
              <w:left w:w="108" w:type="dxa"/>
              <w:right w:w="108" w:type="dxa"/>
            </w:tcMar>
          </w:tcPr>
          <w:p w14:paraId="1D5F8219" w14:textId="68C9AF2C" w:rsidR="00FB6CFC" w:rsidRPr="00325B0D" w:rsidRDefault="00FB6CFC" w:rsidP="00FB6CFC">
            <w:pPr>
              <w:pStyle w:val="TableText0"/>
              <w:rPr>
                <w:rFonts w:cs="Arial"/>
                <w:sz w:val="20"/>
                <w:szCs w:val="20"/>
              </w:rPr>
            </w:pPr>
            <w:r w:rsidRPr="00325B0D">
              <w:rPr>
                <w:rFonts w:cstheme="minorHAnsi"/>
                <w:sz w:val="20"/>
                <w:szCs w:val="20"/>
              </w:rPr>
              <w:t>Wheat grass</w:t>
            </w:r>
          </w:p>
        </w:tc>
        <w:tc>
          <w:tcPr>
            <w:tcW w:w="0" w:type="auto"/>
            <w:tcMar>
              <w:left w:w="108" w:type="dxa"/>
              <w:right w:w="108" w:type="dxa"/>
            </w:tcMar>
          </w:tcPr>
          <w:p w14:paraId="740EB878" w14:textId="1C5211DD" w:rsidR="00FB6CFC" w:rsidRPr="00325B0D" w:rsidRDefault="00FB6CFC" w:rsidP="00FB6CFC">
            <w:pPr>
              <w:pStyle w:val="TableText0"/>
              <w:rPr>
                <w:rFonts w:cs="Arial"/>
                <w:sz w:val="20"/>
                <w:szCs w:val="20"/>
              </w:rPr>
            </w:pPr>
            <w:r w:rsidRPr="00325B0D">
              <w:rPr>
                <w:rFonts w:cstheme="minorHAnsi"/>
                <w:sz w:val="20"/>
                <w:szCs w:val="20"/>
              </w:rPr>
              <w:t>4.8</w:t>
            </w:r>
          </w:p>
        </w:tc>
        <w:tc>
          <w:tcPr>
            <w:tcW w:w="0" w:type="auto"/>
            <w:tcMar>
              <w:left w:w="108" w:type="dxa"/>
              <w:right w:w="108" w:type="dxa"/>
            </w:tcMar>
          </w:tcPr>
          <w:p w14:paraId="73C7C70E" w14:textId="13840DD3" w:rsidR="00FB6CFC" w:rsidRPr="00325B0D" w:rsidRDefault="00FB6CFC" w:rsidP="00FB6CFC">
            <w:pPr>
              <w:pStyle w:val="TableText0"/>
              <w:rPr>
                <w:rFonts w:cs="Arial"/>
                <w:sz w:val="20"/>
                <w:szCs w:val="20"/>
              </w:rPr>
            </w:pPr>
            <w:r w:rsidRPr="00325B0D">
              <w:rPr>
                <w:rFonts w:cstheme="minorHAnsi"/>
                <w:sz w:val="20"/>
                <w:szCs w:val="20"/>
              </w:rPr>
              <w:t>0.19</w:t>
            </w:r>
          </w:p>
        </w:tc>
        <w:tc>
          <w:tcPr>
            <w:tcW w:w="0" w:type="auto"/>
            <w:tcMar>
              <w:left w:w="108" w:type="dxa"/>
              <w:right w:w="108" w:type="dxa"/>
            </w:tcMar>
          </w:tcPr>
          <w:p w14:paraId="522C60D7" w14:textId="4C131684" w:rsidR="00FB6CFC" w:rsidRPr="00325B0D" w:rsidRDefault="00FB6CFC" w:rsidP="00FB6CFC">
            <w:pPr>
              <w:pStyle w:val="TableText0"/>
              <w:rPr>
                <w:rFonts w:cs="Arial"/>
                <w:sz w:val="20"/>
                <w:szCs w:val="20"/>
              </w:rPr>
            </w:pPr>
            <w:r w:rsidRPr="00325B0D">
              <w:rPr>
                <w:rFonts w:cstheme="minorHAnsi"/>
                <w:sz w:val="20"/>
                <w:szCs w:val="20"/>
              </w:rPr>
              <w:t>WW</w:t>
            </w:r>
          </w:p>
        </w:tc>
        <w:tc>
          <w:tcPr>
            <w:tcW w:w="0" w:type="auto"/>
          </w:tcPr>
          <w:p w14:paraId="0B8C0295" w14:textId="022D2A2C" w:rsidR="00FB6CFC" w:rsidRPr="00325B0D" w:rsidRDefault="00FB6CFC" w:rsidP="00FB6CFC">
            <w:pPr>
              <w:pStyle w:val="TableText0"/>
              <w:rPr>
                <w:rFonts w:cs="Arial"/>
                <w:sz w:val="20"/>
                <w:szCs w:val="20"/>
              </w:rPr>
            </w:pPr>
            <w:r w:rsidRPr="00325B0D">
              <w:rPr>
                <w:rFonts w:cstheme="minorHAnsi"/>
                <w:sz w:val="20"/>
                <w:szCs w:val="20"/>
              </w:rPr>
              <w:t xml:space="preserve">25 </w:t>
            </w:r>
            <w:r w:rsidR="00E61C3A">
              <w:rPr>
                <w:rFonts w:cstheme="minorHAnsi"/>
                <w:sz w:val="20"/>
                <w:szCs w:val="20"/>
                <w:vertAlign w:val="superscript"/>
              </w:rPr>
              <w:t>c</w:t>
            </w:r>
          </w:p>
        </w:tc>
        <w:tc>
          <w:tcPr>
            <w:tcW w:w="0" w:type="auto"/>
          </w:tcPr>
          <w:p w14:paraId="154BC5E1" w14:textId="082C4511" w:rsidR="00FB6CFC" w:rsidRPr="00325B0D" w:rsidRDefault="00FB6CFC" w:rsidP="00FB6CFC">
            <w:pPr>
              <w:pStyle w:val="TableText0"/>
              <w:rPr>
                <w:rFonts w:cs="Arial"/>
                <w:sz w:val="20"/>
                <w:szCs w:val="20"/>
              </w:rPr>
            </w:pPr>
            <w:proofErr w:type="spellStart"/>
            <w:r w:rsidRPr="00325B0D">
              <w:rPr>
                <w:rFonts w:cstheme="minorHAnsi"/>
                <w:sz w:val="20"/>
                <w:szCs w:val="20"/>
              </w:rPr>
              <w:t>Bräunig</w:t>
            </w:r>
            <w:proofErr w:type="spellEnd"/>
            <w:r w:rsidRPr="00325B0D">
              <w:rPr>
                <w:rFonts w:cstheme="minorHAnsi"/>
                <w:sz w:val="20"/>
                <w:szCs w:val="20"/>
              </w:rPr>
              <w:t xml:space="preserve"> et al. 2018</w:t>
            </w:r>
          </w:p>
        </w:tc>
      </w:tr>
      <w:tr w:rsidR="00FB6CFC" w14:paraId="0E557ABD" w14:textId="77777777" w:rsidTr="00F0584D">
        <w:tc>
          <w:tcPr>
            <w:tcW w:w="0" w:type="auto"/>
            <w:vMerge/>
          </w:tcPr>
          <w:p w14:paraId="23765892" w14:textId="77777777" w:rsidR="00FB6CFC" w:rsidRDefault="00FB6CFC" w:rsidP="00FB6CFC">
            <w:pPr>
              <w:pStyle w:val="TableText0"/>
            </w:pPr>
          </w:p>
        </w:tc>
        <w:tc>
          <w:tcPr>
            <w:tcW w:w="0" w:type="auto"/>
            <w:tcMar>
              <w:left w:w="108" w:type="dxa"/>
              <w:right w:w="108" w:type="dxa"/>
            </w:tcMar>
          </w:tcPr>
          <w:p w14:paraId="0E30A099" w14:textId="0C6D862B" w:rsidR="00FB6CFC" w:rsidRPr="00325B0D" w:rsidRDefault="00FB6CFC" w:rsidP="00FB6CFC">
            <w:pPr>
              <w:pStyle w:val="TableText0"/>
              <w:rPr>
                <w:rFonts w:cs="Arial"/>
                <w:sz w:val="20"/>
                <w:szCs w:val="20"/>
              </w:rPr>
            </w:pPr>
            <w:r w:rsidRPr="00325B0D">
              <w:rPr>
                <w:rFonts w:cstheme="minorHAnsi"/>
                <w:sz w:val="20"/>
                <w:szCs w:val="20"/>
              </w:rPr>
              <w:t>Wheat (grain)</w:t>
            </w:r>
          </w:p>
        </w:tc>
        <w:tc>
          <w:tcPr>
            <w:tcW w:w="0" w:type="auto"/>
            <w:tcMar>
              <w:left w:w="108" w:type="dxa"/>
              <w:right w:w="108" w:type="dxa"/>
            </w:tcMar>
          </w:tcPr>
          <w:p w14:paraId="7A8DD2F6" w14:textId="60C0DA10" w:rsidR="00FB6CFC" w:rsidRPr="00325B0D" w:rsidRDefault="00FB6CFC" w:rsidP="00FB6CFC">
            <w:pPr>
              <w:pStyle w:val="TableText0"/>
              <w:rPr>
                <w:rFonts w:cs="Arial"/>
                <w:sz w:val="20"/>
                <w:szCs w:val="20"/>
              </w:rPr>
            </w:pPr>
            <w:r w:rsidRPr="00325B0D">
              <w:rPr>
                <w:rFonts w:cstheme="minorHAnsi"/>
                <w:sz w:val="20"/>
                <w:szCs w:val="20"/>
              </w:rPr>
              <w:t>0.1 – 0.2</w:t>
            </w:r>
          </w:p>
        </w:tc>
        <w:tc>
          <w:tcPr>
            <w:tcW w:w="0" w:type="auto"/>
            <w:tcMar>
              <w:left w:w="108" w:type="dxa"/>
              <w:right w:w="108" w:type="dxa"/>
            </w:tcMar>
          </w:tcPr>
          <w:p w14:paraId="2DE32F37" w14:textId="617A8BBA" w:rsidR="00FB6CFC" w:rsidRPr="00325B0D" w:rsidRDefault="00FB6CFC" w:rsidP="00FB6CFC">
            <w:pPr>
              <w:pStyle w:val="TableText0"/>
              <w:rPr>
                <w:rFonts w:cs="Arial"/>
                <w:sz w:val="20"/>
                <w:szCs w:val="20"/>
              </w:rPr>
            </w:pPr>
            <w:r w:rsidRPr="00325B0D">
              <w:rPr>
                <w:rFonts w:cstheme="minorHAnsi"/>
                <w:sz w:val="20"/>
                <w:szCs w:val="20"/>
              </w:rPr>
              <w:t>0.06 – 0.08</w:t>
            </w:r>
          </w:p>
        </w:tc>
        <w:tc>
          <w:tcPr>
            <w:tcW w:w="0" w:type="auto"/>
            <w:tcMar>
              <w:left w:w="108" w:type="dxa"/>
              <w:right w:w="108" w:type="dxa"/>
            </w:tcMar>
          </w:tcPr>
          <w:p w14:paraId="7F971097" w14:textId="354F3856" w:rsidR="00FB6CFC" w:rsidRPr="00325B0D" w:rsidRDefault="00FB6CFC" w:rsidP="00FB6CFC">
            <w:pPr>
              <w:pStyle w:val="TableText0"/>
              <w:rPr>
                <w:rFonts w:cs="Arial"/>
                <w:sz w:val="20"/>
                <w:szCs w:val="20"/>
              </w:rPr>
            </w:pPr>
            <w:r w:rsidRPr="00325B0D">
              <w:rPr>
                <w:rFonts w:cstheme="minorHAnsi"/>
                <w:sz w:val="20"/>
                <w:szCs w:val="20"/>
              </w:rPr>
              <w:t>DW</w:t>
            </w:r>
          </w:p>
        </w:tc>
        <w:tc>
          <w:tcPr>
            <w:tcW w:w="0" w:type="auto"/>
          </w:tcPr>
          <w:p w14:paraId="61647939" w14:textId="3B3105F2" w:rsidR="00FB6CFC" w:rsidRPr="00325B0D" w:rsidRDefault="00FB6CFC" w:rsidP="00FB6CFC">
            <w:pPr>
              <w:pStyle w:val="TableText0"/>
              <w:rPr>
                <w:rFonts w:cs="Arial"/>
                <w:sz w:val="20"/>
                <w:szCs w:val="20"/>
              </w:rPr>
            </w:pPr>
            <w:r w:rsidRPr="00325B0D">
              <w:rPr>
                <w:rFonts w:cstheme="minorHAnsi"/>
                <w:sz w:val="20"/>
                <w:szCs w:val="20"/>
              </w:rPr>
              <w:t>2.0 – 2.5</w:t>
            </w:r>
          </w:p>
        </w:tc>
        <w:tc>
          <w:tcPr>
            <w:tcW w:w="0" w:type="auto"/>
          </w:tcPr>
          <w:p w14:paraId="668B7006" w14:textId="25623F32" w:rsidR="00FB6CFC" w:rsidRPr="00325B0D" w:rsidRDefault="00FB6CFC" w:rsidP="00FB6CFC">
            <w:pPr>
              <w:pStyle w:val="TableText0"/>
              <w:rPr>
                <w:rFonts w:cs="Arial"/>
                <w:sz w:val="20"/>
                <w:szCs w:val="20"/>
              </w:rPr>
            </w:pPr>
            <w:r w:rsidRPr="00325B0D">
              <w:rPr>
                <w:rFonts w:cstheme="minorHAnsi"/>
                <w:sz w:val="20"/>
                <w:szCs w:val="20"/>
              </w:rPr>
              <w:t>Wen et al. 2014</w:t>
            </w:r>
          </w:p>
        </w:tc>
      </w:tr>
      <w:tr w:rsidR="00FB6CFC" w14:paraId="1ED3AF55" w14:textId="77777777" w:rsidTr="00F0584D">
        <w:trPr>
          <w:trHeight w:val="67"/>
        </w:trPr>
        <w:tc>
          <w:tcPr>
            <w:tcW w:w="0" w:type="auto"/>
            <w:vMerge/>
          </w:tcPr>
          <w:p w14:paraId="302E2AE0" w14:textId="77777777" w:rsidR="00FB6CFC" w:rsidRDefault="00FB6CFC" w:rsidP="00FB6CFC">
            <w:pPr>
              <w:pStyle w:val="TableText0"/>
            </w:pPr>
          </w:p>
        </w:tc>
        <w:tc>
          <w:tcPr>
            <w:tcW w:w="0" w:type="auto"/>
            <w:tcMar>
              <w:left w:w="108" w:type="dxa"/>
              <w:right w:w="108" w:type="dxa"/>
            </w:tcMar>
          </w:tcPr>
          <w:p w14:paraId="762FA80A" w14:textId="62BDF26C" w:rsidR="00FB6CFC" w:rsidRPr="00325B0D" w:rsidRDefault="00FB6CFC" w:rsidP="00FB6CFC">
            <w:pPr>
              <w:pStyle w:val="TableText0"/>
              <w:rPr>
                <w:rFonts w:cs="Arial"/>
                <w:sz w:val="20"/>
                <w:szCs w:val="20"/>
              </w:rPr>
            </w:pPr>
            <w:r w:rsidRPr="00325B0D">
              <w:rPr>
                <w:rFonts w:cstheme="minorHAnsi"/>
                <w:sz w:val="20"/>
                <w:szCs w:val="20"/>
              </w:rPr>
              <w:t>Wheat (root/shoot)</w:t>
            </w:r>
          </w:p>
        </w:tc>
        <w:tc>
          <w:tcPr>
            <w:tcW w:w="0" w:type="auto"/>
            <w:tcMar>
              <w:left w:w="108" w:type="dxa"/>
              <w:right w:w="108" w:type="dxa"/>
            </w:tcMar>
          </w:tcPr>
          <w:p w14:paraId="1D4E9194" w14:textId="2C0A0D73" w:rsidR="00FB6CFC" w:rsidRPr="00325B0D" w:rsidRDefault="00FB6CFC" w:rsidP="00FB6CFC">
            <w:pPr>
              <w:pStyle w:val="TableText0"/>
              <w:rPr>
                <w:rFonts w:cs="Arial"/>
                <w:sz w:val="20"/>
                <w:szCs w:val="20"/>
              </w:rPr>
            </w:pPr>
            <w:r w:rsidRPr="00325B0D">
              <w:rPr>
                <w:rFonts w:cstheme="minorHAnsi"/>
                <w:sz w:val="20"/>
                <w:szCs w:val="20"/>
              </w:rPr>
              <w:t>0.4 – 0.7</w:t>
            </w:r>
          </w:p>
        </w:tc>
        <w:tc>
          <w:tcPr>
            <w:tcW w:w="0" w:type="auto"/>
            <w:tcMar>
              <w:left w:w="108" w:type="dxa"/>
              <w:right w:w="108" w:type="dxa"/>
            </w:tcMar>
          </w:tcPr>
          <w:p w14:paraId="6A339DAD" w14:textId="18B2C40E" w:rsidR="00FB6CFC" w:rsidRPr="00325B0D" w:rsidRDefault="00FB6CFC" w:rsidP="00FB6CFC">
            <w:pPr>
              <w:pStyle w:val="TableText0"/>
              <w:rPr>
                <w:rFonts w:cs="Arial"/>
                <w:sz w:val="20"/>
                <w:szCs w:val="20"/>
              </w:rPr>
            </w:pPr>
            <w:r w:rsidRPr="00325B0D">
              <w:rPr>
                <w:rFonts w:cstheme="minorHAnsi"/>
                <w:sz w:val="20"/>
                <w:szCs w:val="20"/>
              </w:rPr>
              <w:t>0.1 – 0.5</w:t>
            </w:r>
          </w:p>
        </w:tc>
        <w:tc>
          <w:tcPr>
            <w:tcW w:w="0" w:type="auto"/>
            <w:tcMar>
              <w:left w:w="108" w:type="dxa"/>
              <w:right w:w="108" w:type="dxa"/>
            </w:tcMar>
          </w:tcPr>
          <w:p w14:paraId="5934D78E" w14:textId="1D18074F" w:rsidR="00FB6CFC" w:rsidRPr="00325B0D" w:rsidRDefault="00FB6CFC" w:rsidP="00FB6CFC">
            <w:pPr>
              <w:pStyle w:val="TableText0"/>
              <w:rPr>
                <w:rFonts w:cs="Arial"/>
                <w:sz w:val="20"/>
                <w:szCs w:val="20"/>
              </w:rPr>
            </w:pPr>
            <w:r w:rsidRPr="00325B0D">
              <w:rPr>
                <w:rFonts w:cstheme="minorHAnsi"/>
                <w:sz w:val="20"/>
                <w:szCs w:val="20"/>
              </w:rPr>
              <w:t>DW</w:t>
            </w:r>
          </w:p>
        </w:tc>
        <w:tc>
          <w:tcPr>
            <w:tcW w:w="0" w:type="auto"/>
          </w:tcPr>
          <w:p w14:paraId="5B3E3707" w14:textId="3DDD1A58" w:rsidR="00FB6CFC" w:rsidRPr="00325B0D" w:rsidRDefault="00FB6CFC" w:rsidP="00FB6CFC">
            <w:pPr>
              <w:pStyle w:val="TableText0"/>
              <w:rPr>
                <w:rFonts w:cs="Arial"/>
                <w:sz w:val="20"/>
                <w:szCs w:val="20"/>
              </w:rPr>
            </w:pPr>
            <w:r w:rsidRPr="00325B0D">
              <w:rPr>
                <w:rFonts w:cstheme="minorHAnsi"/>
                <w:sz w:val="20"/>
                <w:szCs w:val="20"/>
              </w:rPr>
              <w:t>1.2 – 3.2</w:t>
            </w:r>
          </w:p>
        </w:tc>
        <w:tc>
          <w:tcPr>
            <w:tcW w:w="0" w:type="auto"/>
          </w:tcPr>
          <w:p w14:paraId="7CD1FC94" w14:textId="451F2679" w:rsidR="00FB6CFC" w:rsidRPr="00325B0D" w:rsidRDefault="00FB6CFC" w:rsidP="00FB6CFC">
            <w:pPr>
              <w:pStyle w:val="TableText0"/>
              <w:rPr>
                <w:rFonts w:cs="Arial"/>
                <w:sz w:val="20"/>
                <w:szCs w:val="20"/>
              </w:rPr>
            </w:pPr>
            <w:r w:rsidRPr="00325B0D">
              <w:rPr>
                <w:rFonts w:cstheme="minorHAnsi"/>
                <w:sz w:val="20"/>
                <w:szCs w:val="20"/>
              </w:rPr>
              <w:t>Zhao et al. 2014</w:t>
            </w:r>
          </w:p>
        </w:tc>
      </w:tr>
    </w:tbl>
    <w:p w14:paraId="11E07540" w14:textId="1D306B53" w:rsidR="002A2F4A" w:rsidRPr="00196CA6" w:rsidRDefault="00FB6CFC" w:rsidP="00FB6CFC">
      <w:pPr>
        <w:pStyle w:val="Normalsmall"/>
        <w:rPr>
          <w:sz w:val="20"/>
          <w:szCs w:val="20"/>
          <w:lang w:eastAsia="ja-JP"/>
        </w:rPr>
      </w:pPr>
      <w:r w:rsidRPr="00196CA6">
        <w:rPr>
          <w:sz w:val="20"/>
          <w:szCs w:val="20"/>
          <w:lang w:eastAsia="ja-JP"/>
        </w:rPr>
        <w:t>Notes</w:t>
      </w:r>
    </w:p>
    <w:p w14:paraId="659208D8" w14:textId="0122F26C" w:rsidR="001C7F27" w:rsidRPr="00196CA6" w:rsidRDefault="001C7F27" w:rsidP="00FB6CFC">
      <w:pPr>
        <w:pStyle w:val="Normalsmall"/>
        <w:rPr>
          <w:sz w:val="20"/>
          <w:szCs w:val="20"/>
          <w:lang w:eastAsia="ja-JP"/>
        </w:rPr>
      </w:pPr>
      <w:r w:rsidRPr="00196CA6">
        <w:rPr>
          <w:sz w:val="20"/>
          <w:szCs w:val="20"/>
        </w:rPr>
        <w:t>TFs used to derive HIL A</w:t>
      </w:r>
    </w:p>
    <w:p w14:paraId="6A0DA51B" w14:textId="763AC813" w:rsidR="00FB6CFC" w:rsidRPr="00196CA6" w:rsidRDefault="00E61C3A" w:rsidP="00FB6CFC">
      <w:pPr>
        <w:pStyle w:val="Normalsmall"/>
        <w:rPr>
          <w:sz w:val="20"/>
          <w:szCs w:val="20"/>
        </w:rPr>
      </w:pPr>
      <w:proofErr w:type="spellStart"/>
      <w:proofErr w:type="gramStart"/>
      <w:r w:rsidRPr="00196CA6">
        <w:rPr>
          <w:sz w:val="20"/>
          <w:szCs w:val="20"/>
          <w:vertAlign w:val="superscript"/>
        </w:rPr>
        <w:t>a</w:t>
      </w:r>
      <w:proofErr w:type="spellEnd"/>
      <w:proofErr w:type="gramEnd"/>
      <w:r w:rsidR="00FB6CFC" w:rsidRPr="00196CA6">
        <w:rPr>
          <w:sz w:val="20"/>
          <w:szCs w:val="20"/>
        </w:rPr>
        <w:t xml:space="preserve"> Additional published literature and TFs since last review of </w:t>
      </w:r>
      <w:proofErr w:type="spellStart"/>
      <w:r w:rsidR="00FB6CFC" w:rsidRPr="00196CA6">
        <w:rPr>
          <w:sz w:val="20"/>
          <w:szCs w:val="20"/>
        </w:rPr>
        <w:t>PFHxS</w:t>
      </w:r>
      <w:proofErr w:type="spellEnd"/>
      <w:r w:rsidR="00FB6CFC" w:rsidRPr="00196CA6">
        <w:rPr>
          <w:sz w:val="20"/>
          <w:szCs w:val="20"/>
        </w:rPr>
        <w:t xml:space="preserve"> TFs in OEH 2019.</w:t>
      </w:r>
    </w:p>
    <w:p w14:paraId="2883E2CA" w14:textId="481A7484" w:rsidR="00FB6CFC" w:rsidRPr="00196CA6" w:rsidRDefault="00E61C3A" w:rsidP="00FB6CFC">
      <w:pPr>
        <w:pStyle w:val="Normalsmall"/>
        <w:rPr>
          <w:sz w:val="20"/>
          <w:szCs w:val="20"/>
        </w:rPr>
      </w:pPr>
      <w:r w:rsidRPr="004636DE">
        <w:rPr>
          <w:sz w:val="20"/>
          <w:szCs w:val="20"/>
          <w:vertAlign w:val="superscript"/>
        </w:rPr>
        <w:t>b</w:t>
      </w:r>
      <w:r w:rsidRPr="00196CA6">
        <w:rPr>
          <w:sz w:val="20"/>
          <w:szCs w:val="20"/>
        </w:rPr>
        <w:t xml:space="preserve"> </w:t>
      </w:r>
      <w:r w:rsidR="00FB6CFC" w:rsidRPr="00196CA6">
        <w:rPr>
          <w:sz w:val="20"/>
          <w:szCs w:val="20"/>
        </w:rPr>
        <w:t xml:space="preserve">Result for one experiment only as all other soil treatments for </w:t>
      </w:r>
      <w:proofErr w:type="spellStart"/>
      <w:r w:rsidR="00FB6CFC" w:rsidRPr="00196CA6">
        <w:rPr>
          <w:sz w:val="20"/>
          <w:szCs w:val="20"/>
        </w:rPr>
        <w:t>PFHxS</w:t>
      </w:r>
      <w:proofErr w:type="spellEnd"/>
      <w:r w:rsidR="00FB6CFC" w:rsidRPr="00196CA6">
        <w:rPr>
          <w:sz w:val="20"/>
          <w:szCs w:val="20"/>
        </w:rPr>
        <w:t xml:space="preserve"> were &lt; LOR.</w:t>
      </w:r>
    </w:p>
    <w:p w14:paraId="6C14F00B" w14:textId="39F4D048" w:rsidR="00FB6CFC" w:rsidRPr="00196CA6" w:rsidRDefault="00E61C3A" w:rsidP="00FB6CFC">
      <w:pPr>
        <w:pStyle w:val="Normalsmall"/>
        <w:rPr>
          <w:sz w:val="20"/>
          <w:szCs w:val="20"/>
        </w:rPr>
      </w:pPr>
      <w:r w:rsidRPr="004636DE">
        <w:rPr>
          <w:sz w:val="20"/>
          <w:szCs w:val="20"/>
          <w:vertAlign w:val="superscript"/>
        </w:rPr>
        <w:t>C</w:t>
      </w:r>
      <w:r w:rsidRPr="00196CA6">
        <w:rPr>
          <w:sz w:val="20"/>
          <w:szCs w:val="20"/>
        </w:rPr>
        <w:t xml:space="preserve"> </w:t>
      </w:r>
      <w:r w:rsidR="00FB6CFC" w:rsidRPr="00196CA6">
        <w:rPr>
          <w:sz w:val="20"/>
          <w:szCs w:val="20"/>
        </w:rPr>
        <w:t xml:space="preserve">The TF for wheat grass grown at a firefighting training ground (TF = 78) was excluded, as the soil concentrations (13,400 µg/kg PFOS and 450 µg/kg </w:t>
      </w:r>
      <w:proofErr w:type="spellStart"/>
      <w:r w:rsidR="00FB6CFC" w:rsidRPr="00196CA6">
        <w:rPr>
          <w:sz w:val="20"/>
          <w:szCs w:val="20"/>
        </w:rPr>
        <w:t>PFHxS</w:t>
      </w:r>
      <w:proofErr w:type="spellEnd"/>
      <w:r w:rsidR="00FB6CFC" w:rsidRPr="00196CA6">
        <w:rPr>
          <w:sz w:val="20"/>
          <w:szCs w:val="20"/>
        </w:rPr>
        <w:t>) were deemed not relevant to residential situations.</w:t>
      </w:r>
    </w:p>
    <w:p w14:paraId="57606443" w14:textId="3288B672" w:rsidR="00F875E3" w:rsidRDefault="004E6B12" w:rsidP="00F875E3">
      <w:pPr>
        <w:pStyle w:val="Caption"/>
        <w:rPr>
          <w:lang w:eastAsia="ja-JP"/>
        </w:rPr>
      </w:pPr>
      <w:bookmarkStart w:id="40" w:name="_Ref112679192"/>
      <w:bookmarkStart w:id="41" w:name="_Toc113611832"/>
      <w:r>
        <w:lastRenderedPageBreak/>
        <w:t>Table A</w:t>
      </w:r>
      <w:r w:rsidR="008D7C8F">
        <w:fldChar w:fldCharType="begin"/>
      </w:r>
      <w:r w:rsidR="008D7C8F">
        <w:instrText xml:space="preserve"> SEQ Table_A \* ARABIC </w:instrText>
      </w:r>
      <w:r w:rsidR="008D7C8F">
        <w:fldChar w:fldCharType="separate"/>
      </w:r>
      <w:r w:rsidR="006E6194">
        <w:rPr>
          <w:noProof/>
        </w:rPr>
        <w:t>3</w:t>
      </w:r>
      <w:r w:rsidR="008D7C8F">
        <w:rPr>
          <w:noProof/>
        </w:rPr>
        <w:fldChar w:fldCharType="end"/>
      </w:r>
      <w:bookmarkEnd w:id="40"/>
      <w:r>
        <w:rPr>
          <w:lang w:eastAsia="ja-JP"/>
        </w:rPr>
        <w:t xml:space="preserve"> </w:t>
      </w:r>
      <w:proofErr w:type="spellStart"/>
      <w:r w:rsidR="00F875E3" w:rsidRPr="006541E4">
        <w:t>PFOS+PFHxS</w:t>
      </w:r>
      <w:proofErr w:type="spellEnd"/>
      <w:r w:rsidR="00F875E3" w:rsidRPr="006541E4">
        <w:t xml:space="preserve"> transfer factors for HILs calculator assuming 50% PFOS and 50% </w:t>
      </w:r>
      <w:proofErr w:type="spellStart"/>
      <w:r w:rsidR="00F875E3" w:rsidRPr="006541E4">
        <w:t>PFHxS</w:t>
      </w:r>
      <w:proofErr w:type="spellEnd"/>
      <w:r w:rsidR="00F875E3" w:rsidRPr="006541E4">
        <w:t xml:space="preserve"> in soil (by mass) as per Equation A</w:t>
      </w:r>
      <w:r w:rsidR="004F5352">
        <w:t>1</w:t>
      </w:r>
      <w:r w:rsidR="00F875E3" w:rsidRPr="006541E4">
        <w:t xml:space="preserve"> and a </w:t>
      </w:r>
      <w:proofErr w:type="spellStart"/>
      <w:r w:rsidR="00F875E3" w:rsidRPr="006541E4">
        <w:t>Multiplier</w:t>
      </w:r>
      <w:r w:rsidR="00F875E3" w:rsidRPr="004636DE">
        <w:rPr>
          <w:vertAlign w:val="subscript"/>
        </w:rPr>
        <w:t>PFHxS</w:t>
      </w:r>
      <w:proofErr w:type="spellEnd"/>
      <w:r w:rsidR="00F875E3" w:rsidRPr="006541E4">
        <w:t xml:space="preserve"> of 6.9.</w:t>
      </w:r>
      <w:bookmarkEnd w:id="41"/>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S+PFHxS transfer factors for HILs calculator assuming 50% PFOS and 50% PFHxS in soil (by mass) as per Equation A3 and a MultiplierPFHxS of 6.9."/>
        <w:tblDescription w:val="Table showing transfer ractos for the sum of PFOS and PFHxS in soil. Celery, as a representative of green vegetables, has the highest transfer factor of the sum of PFOS and PFHxS."/>
      </w:tblPr>
      <w:tblGrid>
        <w:gridCol w:w="1888"/>
        <w:gridCol w:w="3755"/>
        <w:gridCol w:w="3427"/>
      </w:tblGrid>
      <w:tr w:rsidR="006953A0" w:rsidRPr="00B11D37" w14:paraId="26C836F0" w14:textId="77777777" w:rsidTr="006953A0">
        <w:tc>
          <w:tcPr>
            <w:tcW w:w="1041" w:type="pct"/>
          </w:tcPr>
          <w:p w14:paraId="294DE588" w14:textId="2AA041B4" w:rsidR="006953A0" w:rsidRDefault="006953A0" w:rsidP="006953A0">
            <w:pPr>
              <w:pStyle w:val="TableText0"/>
            </w:pPr>
            <w:bookmarkStart w:id="42" w:name="_Hlk110613270"/>
            <w:r w:rsidRPr="00325B0D">
              <w:rPr>
                <w:b/>
                <w:bCs/>
                <w:sz w:val="20"/>
                <w:szCs w:val="20"/>
              </w:rPr>
              <w:t>Plant category</w:t>
            </w:r>
          </w:p>
        </w:tc>
        <w:tc>
          <w:tcPr>
            <w:tcW w:w="2070" w:type="pct"/>
            <w:tcMar>
              <w:left w:w="108" w:type="dxa"/>
              <w:right w:w="108" w:type="dxa"/>
            </w:tcMar>
          </w:tcPr>
          <w:p w14:paraId="2C6B62CE" w14:textId="6074813F" w:rsidR="006953A0" w:rsidRPr="00B11D37" w:rsidRDefault="006953A0" w:rsidP="006953A0">
            <w:pPr>
              <w:pStyle w:val="TableText0"/>
              <w:rPr>
                <w:rFonts w:cstheme="minorHAnsi"/>
                <w:b/>
                <w:bCs/>
                <w:sz w:val="20"/>
                <w:szCs w:val="20"/>
              </w:rPr>
            </w:pPr>
            <w:r w:rsidRPr="00325B0D">
              <w:rPr>
                <w:b/>
                <w:bCs/>
                <w:sz w:val="20"/>
                <w:szCs w:val="20"/>
              </w:rPr>
              <w:t xml:space="preserve">PFOS TF WW (from </w:t>
            </w:r>
            <w:r w:rsidR="004E6B12" w:rsidRPr="004E6B12">
              <w:rPr>
                <w:b/>
                <w:bCs/>
                <w:sz w:val="20"/>
                <w:szCs w:val="20"/>
              </w:rPr>
              <w:fldChar w:fldCharType="begin"/>
            </w:r>
            <w:r w:rsidR="004E6B12" w:rsidRPr="004E6B12">
              <w:rPr>
                <w:b/>
                <w:bCs/>
                <w:sz w:val="20"/>
                <w:szCs w:val="20"/>
              </w:rPr>
              <w:instrText xml:space="preserve"> REF _Ref112678673 \h  \* MERGEFORMAT </w:instrText>
            </w:r>
            <w:r w:rsidR="004E6B12" w:rsidRPr="004E6B12">
              <w:rPr>
                <w:b/>
                <w:bCs/>
                <w:sz w:val="20"/>
                <w:szCs w:val="20"/>
              </w:rPr>
            </w:r>
            <w:r w:rsidR="004E6B12" w:rsidRPr="004E6B12">
              <w:rPr>
                <w:b/>
                <w:bCs/>
                <w:sz w:val="20"/>
                <w:szCs w:val="20"/>
              </w:rPr>
              <w:fldChar w:fldCharType="separate"/>
            </w:r>
            <w:r w:rsidR="004E6B12" w:rsidRPr="004E6B12">
              <w:rPr>
                <w:b/>
                <w:bCs/>
              </w:rPr>
              <w:t>Table A</w:t>
            </w:r>
            <w:r w:rsidR="004E6B12" w:rsidRPr="004E6B12">
              <w:rPr>
                <w:b/>
                <w:bCs/>
                <w:noProof/>
              </w:rPr>
              <w:t>1</w:t>
            </w:r>
            <w:r w:rsidR="004E6B12" w:rsidRPr="004E6B12">
              <w:rPr>
                <w:b/>
                <w:bCs/>
                <w:sz w:val="20"/>
                <w:szCs w:val="20"/>
              </w:rPr>
              <w:fldChar w:fldCharType="end"/>
            </w:r>
            <w:r w:rsidRPr="00325B0D">
              <w:rPr>
                <w:b/>
                <w:bCs/>
                <w:sz w:val="20"/>
                <w:szCs w:val="20"/>
              </w:rPr>
              <w:t>)</w:t>
            </w:r>
          </w:p>
        </w:tc>
        <w:tc>
          <w:tcPr>
            <w:tcW w:w="1889" w:type="pct"/>
            <w:tcMar>
              <w:left w:w="108" w:type="dxa"/>
              <w:right w:w="108" w:type="dxa"/>
            </w:tcMar>
          </w:tcPr>
          <w:p w14:paraId="2EBA4EDB" w14:textId="07B169F9" w:rsidR="006953A0" w:rsidRPr="00B11D37" w:rsidRDefault="006953A0" w:rsidP="006953A0">
            <w:pPr>
              <w:pStyle w:val="TableText0"/>
              <w:rPr>
                <w:rFonts w:cstheme="minorHAnsi"/>
                <w:b/>
                <w:bCs/>
                <w:sz w:val="20"/>
                <w:szCs w:val="20"/>
              </w:rPr>
            </w:pPr>
            <w:r w:rsidRPr="00325B0D">
              <w:rPr>
                <w:b/>
                <w:bCs/>
                <w:sz w:val="20"/>
                <w:szCs w:val="20"/>
              </w:rPr>
              <w:t xml:space="preserve">Sum of PFOS and </w:t>
            </w:r>
            <w:proofErr w:type="spellStart"/>
            <w:r w:rsidRPr="00325B0D">
              <w:rPr>
                <w:b/>
                <w:bCs/>
                <w:sz w:val="20"/>
                <w:szCs w:val="20"/>
              </w:rPr>
              <w:t>PFHxS</w:t>
            </w:r>
            <w:proofErr w:type="spellEnd"/>
            <w:r w:rsidRPr="00325B0D">
              <w:rPr>
                <w:b/>
                <w:bCs/>
                <w:sz w:val="20"/>
                <w:szCs w:val="20"/>
              </w:rPr>
              <w:t xml:space="preserve"> TF </w:t>
            </w:r>
          </w:p>
        </w:tc>
      </w:tr>
      <w:tr w:rsidR="006953A0" w:rsidRPr="00B11D37" w14:paraId="61BD8BEA" w14:textId="77777777" w:rsidTr="006953A0">
        <w:tc>
          <w:tcPr>
            <w:tcW w:w="1041" w:type="pct"/>
          </w:tcPr>
          <w:p w14:paraId="56CF650D" w14:textId="3C3B2902" w:rsidR="006953A0" w:rsidRDefault="006953A0" w:rsidP="006953A0">
            <w:pPr>
              <w:pStyle w:val="TableText0"/>
            </w:pPr>
            <w:r w:rsidRPr="00325B0D">
              <w:rPr>
                <w:sz w:val="20"/>
                <w:szCs w:val="20"/>
              </w:rPr>
              <w:t xml:space="preserve">Green vegetable </w:t>
            </w:r>
          </w:p>
        </w:tc>
        <w:tc>
          <w:tcPr>
            <w:tcW w:w="2070" w:type="pct"/>
            <w:tcMar>
              <w:left w:w="108" w:type="dxa"/>
              <w:right w:w="108" w:type="dxa"/>
            </w:tcMar>
          </w:tcPr>
          <w:p w14:paraId="6D649191" w14:textId="44A10A5E" w:rsidR="006953A0" w:rsidRPr="00325B0D" w:rsidRDefault="006953A0" w:rsidP="006953A0">
            <w:pPr>
              <w:pStyle w:val="TableText0"/>
              <w:rPr>
                <w:rFonts w:cstheme="minorHAnsi"/>
                <w:sz w:val="20"/>
                <w:szCs w:val="20"/>
              </w:rPr>
            </w:pPr>
            <w:r w:rsidRPr="00325B0D">
              <w:rPr>
                <w:sz w:val="20"/>
                <w:szCs w:val="20"/>
              </w:rPr>
              <w:t>0.20 (Celery)</w:t>
            </w:r>
          </w:p>
        </w:tc>
        <w:tc>
          <w:tcPr>
            <w:tcW w:w="1889" w:type="pct"/>
            <w:tcMar>
              <w:left w:w="108" w:type="dxa"/>
              <w:right w:w="108" w:type="dxa"/>
            </w:tcMar>
          </w:tcPr>
          <w:p w14:paraId="46314C74" w14:textId="71178D6A" w:rsidR="006953A0" w:rsidRPr="00325B0D" w:rsidRDefault="006953A0" w:rsidP="006953A0">
            <w:pPr>
              <w:pStyle w:val="TableText0"/>
              <w:rPr>
                <w:rFonts w:cstheme="minorHAnsi"/>
                <w:sz w:val="20"/>
                <w:szCs w:val="20"/>
              </w:rPr>
            </w:pPr>
            <w:r w:rsidRPr="00325B0D">
              <w:rPr>
                <w:sz w:val="20"/>
                <w:szCs w:val="20"/>
              </w:rPr>
              <w:t>0.79</w:t>
            </w:r>
          </w:p>
        </w:tc>
      </w:tr>
      <w:tr w:rsidR="006953A0" w:rsidRPr="00B11D37" w14:paraId="2B2D9671" w14:textId="77777777" w:rsidTr="006953A0">
        <w:tc>
          <w:tcPr>
            <w:tcW w:w="1041" w:type="pct"/>
          </w:tcPr>
          <w:p w14:paraId="38E4AC6B" w14:textId="2F991079" w:rsidR="006953A0" w:rsidRDefault="006953A0" w:rsidP="006953A0">
            <w:pPr>
              <w:pStyle w:val="TableText0"/>
            </w:pPr>
            <w:r w:rsidRPr="00325B0D">
              <w:rPr>
                <w:sz w:val="20"/>
                <w:szCs w:val="20"/>
              </w:rPr>
              <w:t xml:space="preserve">Root vegetable </w:t>
            </w:r>
          </w:p>
        </w:tc>
        <w:tc>
          <w:tcPr>
            <w:tcW w:w="2070" w:type="pct"/>
            <w:tcMar>
              <w:left w:w="108" w:type="dxa"/>
              <w:right w:w="108" w:type="dxa"/>
            </w:tcMar>
          </w:tcPr>
          <w:p w14:paraId="37B75173" w14:textId="1E19BA44" w:rsidR="006953A0" w:rsidRPr="00325B0D" w:rsidRDefault="006953A0" w:rsidP="006953A0">
            <w:pPr>
              <w:pStyle w:val="TableText0"/>
              <w:rPr>
                <w:rFonts w:cstheme="minorHAnsi"/>
                <w:sz w:val="20"/>
                <w:szCs w:val="20"/>
              </w:rPr>
            </w:pPr>
            <w:r w:rsidRPr="00325B0D">
              <w:rPr>
                <w:sz w:val="20"/>
                <w:szCs w:val="20"/>
              </w:rPr>
              <w:t>0.15 (Radish)</w:t>
            </w:r>
          </w:p>
        </w:tc>
        <w:tc>
          <w:tcPr>
            <w:tcW w:w="1889" w:type="pct"/>
            <w:tcMar>
              <w:left w:w="108" w:type="dxa"/>
              <w:right w:w="108" w:type="dxa"/>
            </w:tcMar>
          </w:tcPr>
          <w:p w14:paraId="0EBC74AF" w14:textId="5C0B810B" w:rsidR="006953A0" w:rsidRPr="00325B0D" w:rsidRDefault="006953A0" w:rsidP="006953A0">
            <w:pPr>
              <w:pStyle w:val="TableText0"/>
              <w:rPr>
                <w:rFonts w:cstheme="minorHAnsi"/>
                <w:sz w:val="20"/>
                <w:szCs w:val="20"/>
              </w:rPr>
            </w:pPr>
            <w:r w:rsidRPr="00325B0D">
              <w:rPr>
                <w:sz w:val="20"/>
                <w:szCs w:val="20"/>
              </w:rPr>
              <w:t>0.58</w:t>
            </w:r>
          </w:p>
        </w:tc>
      </w:tr>
      <w:tr w:rsidR="006953A0" w:rsidRPr="00B11D37" w14:paraId="077B068D" w14:textId="77777777" w:rsidTr="006953A0">
        <w:tc>
          <w:tcPr>
            <w:tcW w:w="1041" w:type="pct"/>
          </w:tcPr>
          <w:p w14:paraId="14BAB3F5" w14:textId="406261A1" w:rsidR="006953A0" w:rsidRDefault="006953A0" w:rsidP="006953A0">
            <w:pPr>
              <w:pStyle w:val="TableText0"/>
            </w:pPr>
            <w:r w:rsidRPr="00325B0D">
              <w:rPr>
                <w:sz w:val="20"/>
                <w:szCs w:val="20"/>
              </w:rPr>
              <w:t>Tuber vegetable</w:t>
            </w:r>
          </w:p>
        </w:tc>
        <w:tc>
          <w:tcPr>
            <w:tcW w:w="2070" w:type="pct"/>
            <w:tcMar>
              <w:left w:w="108" w:type="dxa"/>
              <w:right w:w="108" w:type="dxa"/>
            </w:tcMar>
          </w:tcPr>
          <w:p w14:paraId="59968569" w14:textId="19484724" w:rsidR="006953A0" w:rsidRPr="00325B0D" w:rsidRDefault="006953A0" w:rsidP="006953A0">
            <w:pPr>
              <w:pStyle w:val="TableText0"/>
              <w:rPr>
                <w:rFonts w:cstheme="minorHAnsi"/>
                <w:sz w:val="20"/>
                <w:szCs w:val="20"/>
              </w:rPr>
            </w:pPr>
            <w:r w:rsidRPr="00325B0D">
              <w:rPr>
                <w:sz w:val="20"/>
                <w:szCs w:val="20"/>
              </w:rPr>
              <w:t>0.05 (Potato)</w:t>
            </w:r>
          </w:p>
        </w:tc>
        <w:tc>
          <w:tcPr>
            <w:tcW w:w="1889" w:type="pct"/>
            <w:tcMar>
              <w:left w:w="108" w:type="dxa"/>
              <w:right w:w="108" w:type="dxa"/>
            </w:tcMar>
          </w:tcPr>
          <w:p w14:paraId="7E88EAF4" w14:textId="04DDE7E7" w:rsidR="006953A0" w:rsidRPr="00325B0D" w:rsidRDefault="006953A0" w:rsidP="006953A0">
            <w:pPr>
              <w:pStyle w:val="TableText0"/>
              <w:rPr>
                <w:rFonts w:cstheme="minorHAnsi"/>
                <w:sz w:val="20"/>
                <w:szCs w:val="20"/>
              </w:rPr>
            </w:pPr>
            <w:r w:rsidRPr="00325B0D">
              <w:rPr>
                <w:sz w:val="20"/>
                <w:szCs w:val="20"/>
              </w:rPr>
              <w:t>0.20</w:t>
            </w:r>
          </w:p>
        </w:tc>
      </w:tr>
      <w:tr w:rsidR="006953A0" w:rsidRPr="00B11D37" w14:paraId="703DD244" w14:textId="77777777" w:rsidTr="006953A0">
        <w:tc>
          <w:tcPr>
            <w:tcW w:w="1041" w:type="pct"/>
          </w:tcPr>
          <w:p w14:paraId="0A3DDBB4" w14:textId="501648C2" w:rsidR="006953A0" w:rsidRDefault="006953A0" w:rsidP="006953A0">
            <w:pPr>
              <w:pStyle w:val="TableText0"/>
            </w:pPr>
            <w:r w:rsidRPr="00325B0D">
              <w:rPr>
                <w:sz w:val="20"/>
                <w:szCs w:val="20"/>
              </w:rPr>
              <w:t>Tree fruit</w:t>
            </w:r>
          </w:p>
        </w:tc>
        <w:tc>
          <w:tcPr>
            <w:tcW w:w="2070" w:type="pct"/>
            <w:tcMar>
              <w:left w:w="108" w:type="dxa"/>
              <w:right w:w="108" w:type="dxa"/>
            </w:tcMar>
          </w:tcPr>
          <w:p w14:paraId="02224829" w14:textId="01F20B07" w:rsidR="006953A0" w:rsidRPr="00325B0D" w:rsidRDefault="006953A0" w:rsidP="006953A0">
            <w:pPr>
              <w:pStyle w:val="TableText0"/>
              <w:rPr>
                <w:rFonts w:cstheme="minorHAnsi"/>
                <w:sz w:val="20"/>
                <w:szCs w:val="20"/>
              </w:rPr>
            </w:pPr>
            <w:r w:rsidRPr="00325B0D">
              <w:rPr>
                <w:sz w:val="20"/>
                <w:szCs w:val="20"/>
              </w:rPr>
              <w:t>0.015 (Tomato)</w:t>
            </w:r>
          </w:p>
        </w:tc>
        <w:tc>
          <w:tcPr>
            <w:tcW w:w="1889" w:type="pct"/>
            <w:tcMar>
              <w:left w:w="108" w:type="dxa"/>
              <w:right w:w="108" w:type="dxa"/>
            </w:tcMar>
          </w:tcPr>
          <w:p w14:paraId="7836F01C" w14:textId="3D9DC922" w:rsidR="006953A0" w:rsidRPr="00325B0D" w:rsidRDefault="006953A0" w:rsidP="006953A0">
            <w:pPr>
              <w:pStyle w:val="TableText0"/>
              <w:rPr>
                <w:rFonts w:cstheme="minorHAnsi"/>
                <w:sz w:val="20"/>
                <w:szCs w:val="20"/>
              </w:rPr>
            </w:pPr>
            <w:r w:rsidRPr="00325B0D">
              <w:rPr>
                <w:sz w:val="20"/>
                <w:szCs w:val="20"/>
              </w:rPr>
              <w:t>0.06</w:t>
            </w:r>
          </w:p>
        </w:tc>
      </w:tr>
      <w:bookmarkEnd w:id="42"/>
    </w:tbl>
    <w:p w14:paraId="0B3DA936" w14:textId="1E206FC1" w:rsidR="0002091C" w:rsidRDefault="0002091C" w:rsidP="0002091C">
      <w:pPr>
        <w:rPr>
          <w:lang w:eastAsia="ja-JP"/>
        </w:rPr>
      </w:pPr>
    </w:p>
    <w:p w14:paraId="5D6C12CF" w14:textId="32074291" w:rsidR="00F875E3" w:rsidRDefault="00F875E3" w:rsidP="00F875E3">
      <w:pPr>
        <w:pStyle w:val="Heading5"/>
        <w:rPr>
          <w:lang w:eastAsia="ja-JP"/>
        </w:rPr>
      </w:pPr>
      <w:r>
        <w:rPr>
          <w:lang w:eastAsia="ja-JP"/>
        </w:rPr>
        <w:t>PFOA TFs</w:t>
      </w:r>
    </w:p>
    <w:p w14:paraId="177DA608" w14:textId="77777777" w:rsidR="00F875E3" w:rsidRDefault="00F875E3" w:rsidP="00F875E3">
      <w:pPr>
        <w:rPr>
          <w:lang w:eastAsia="en-AU"/>
        </w:rPr>
      </w:pPr>
      <w:r>
        <w:rPr>
          <w:lang w:eastAsia="en-AU"/>
        </w:rPr>
        <w:t xml:space="preserve">For PFOA, only few peer-reviewed studies were available with suitable TFs at the time of deriving the HIL A values in 2019. One of the future work outcomes from the NEMP 2.0 consultation was to review these, if appropriate newly published literature on PFOA uptake into plants becomes available. </w:t>
      </w:r>
    </w:p>
    <w:p w14:paraId="4A573B0D" w14:textId="77777777" w:rsidR="00F875E3" w:rsidRPr="00C444FB" w:rsidRDefault="00F875E3" w:rsidP="00F875E3">
      <w:r w:rsidRPr="00C444FB">
        <w:t xml:space="preserve">Consistent with the OEH </w:t>
      </w:r>
      <w:r>
        <w:t xml:space="preserve">2019 </w:t>
      </w:r>
      <w:r w:rsidRPr="00C444FB">
        <w:t>report</w:t>
      </w:r>
      <w:r>
        <w:t>,</w:t>
      </w:r>
      <w:r w:rsidRPr="00C444FB">
        <w:t xml:space="preserve"> the review of TFs was</w:t>
      </w:r>
      <w:r>
        <w:t xml:space="preserve"> focused</w:t>
      </w:r>
      <w:r w:rsidRPr="00C444FB">
        <w:t xml:space="preserve"> on studies t</w:t>
      </w:r>
      <w:r w:rsidRPr="004E1813">
        <w:t xml:space="preserve">hat provided data for uptake of PFOA from soil to plants, and plant types and compartments used for food consumption. Therefore, </w:t>
      </w:r>
      <w:r>
        <w:t>p</w:t>
      </w:r>
      <w:r w:rsidRPr="00C444FB">
        <w:t xml:space="preserve">ublications that used PFOA </w:t>
      </w:r>
      <w:r w:rsidRPr="001F2F1C">
        <w:t>concentrations in irrigation water to cal</w:t>
      </w:r>
      <w:r w:rsidRPr="006729BF">
        <w:t>culate TFs were excluded from further consideration</w:t>
      </w:r>
      <w:r>
        <w:t xml:space="preserve"> in deriving the HIL A</w:t>
      </w:r>
      <w:r w:rsidRPr="006729BF">
        <w:t xml:space="preserve">, as these studies are not suitable </w:t>
      </w:r>
      <w:r>
        <w:t xml:space="preserve">to calculate </w:t>
      </w:r>
      <w:r w:rsidRPr="00C444FB">
        <w:t xml:space="preserve">soil to plant TFs. </w:t>
      </w:r>
    </w:p>
    <w:p w14:paraId="0F8139C4" w14:textId="77777777" w:rsidR="00F875E3" w:rsidRPr="00D05A7C" w:rsidRDefault="00F875E3" w:rsidP="00F875E3">
      <w:r w:rsidRPr="00D05A7C">
        <w:t xml:space="preserve">A total of </w:t>
      </w:r>
      <w:r>
        <w:t xml:space="preserve">9 </w:t>
      </w:r>
      <w:r w:rsidRPr="00D05A7C">
        <w:t>additional publications (</w:t>
      </w:r>
      <w:proofErr w:type="gramStart"/>
      <w:r w:rsidRPr="00D05A7C">
        <w:t>i.e.</w:t>
      </w:r>
      <w:proofErr w:type="gramEnd"/>
      <w:r w:rsidRPr="00D05A7C">
        <w:t xml:space="preserve"> not already assessed by OEH 2019) with data on PFOA uptake</w:t>
      </w:r>
      <w:r>
        <w:t xml:space="preserve"> from soil</w:t>
      </w:r>
      <w:r w:rsidRPr="00D05A7C">
        <w:t xml:space="preserve"> into plants </w:t>
      </w:r>
      <w:r>
        <w:t xml:space="preserve">were identified in 2021. Of these, 7 publications reported TFs </w:t>
      </w:r>
      <w:r w:rsidRPr="00D05A7C">
        <w:t>from soil</w:t>
      </w:r>
      <w:r>
        <w:t xml:space="preserve"> to edible plant compartments</w:t>
      </w:r>
      <w:r w:rsidRPr="00D05A7C">
        <w:t xml:space="preserve"> and</w:t>
      </w:r>
      <w:r>
        <w:t xml:space="preserve"> these </w:t>
      </w:r>
      <w:r w:rsidRPr="00D05A7C">
        <w:t xml:space="preserve">are presented </w:t>
      </w:r>
      <w:r w:rsidRPr="00CE2AFC">
        <w:t xml:space="preserve">in Table </w:t>
      </w:r>
      <w:r>
        <w:t>A4</w:t>
      </w:r>
      <w:r w:rsidRPr="00CE2AFC">
        <w:t>.</w:t>
      </w:r>
      <w:r w:rsidRPr="00D05A7C">
        <w:t xml:space="preserve"> Of the </w:t>
      </w:r>
      <w:r>
        <w:t>7</w:t>
      </w:r>
      <w:r w:rsidRPr="00D05A7C">
        <w:t xml:space="preserve"> publications, several were excluded from further consideration</w:t>
      </w:r>
      <w:r>
        <w:t xml:space="preserve"> for the HIL A derivation:</w:t>
      </w:r>
    </w:p>
    <w:p w14:paraId="6B91D816" w14:textId="77777777" w:rsidR="00F875E3" w:rsidRPr="00325B0D" w:rsidRDefault="00F875E3" w:rsidP="004D4E7D">
      <w:pPr>
        <w:pStyle w:val="ListBullet"/>
      </w:pPr>
      <w:r w:rsidRPr="00325B0D">
        <w:t>Navarro et al. (2013) was excluded as the paper was not published in a peer-reviewed journal and PFOA contamination was evident in some soil results. In addition, further critical quality control and quality assurance data was not reported.</w:t>
      </w:r>
    </w:p>
    <w:p w14:paraId="551BB38F" w14:textId="77777777" w:rsidR="00F875E3" w:rsidRPr="00325B0D" w:rsidRDefault="00F875E3" w:rsidP="004D4E7D">
      <w:pPr>
        <w:pStyle w:val="ListBullet"/>
      </w:pPr>
      <w:proofErr w:type="spellStart"/>
      <w:r w:rsidRPr="00325B0D">
        <w:t>Eun</w:t>
      </w:r>
      <w:proofErr w:type="spellEnd"/>
      <w:r w:rsidRPr="00325B0D">
        <w:t xml:space="preserve"> et al. (2020) was excluded as the bioaccumulation factors were not readily available in the paper and data to calculate these was only presented graphically. Further, there was a disconnect between the time when vegetables were grown and soil PFAS concentrations were measured, which may have impacted resulting TFs. </w:t>
      </w:r>
    </w:p>
    <w:p w14:paraId="22C460A0" w14:textId="40A4683A" w:rsidR="00F875E3" w:rsidRPr="00325B0D" w:rsidRDefault="00F875E3" w:rsidP="004D4E7D">
      <w:pPr>
        <w:pStyle w:val="ListBullet"/>
      </w:pPr>
      <w:proofErr w:type="spellStart"/>
      <w:r w:rsidRPr="00325B0D">
        <w:t>Lasee</w:t>
      </w:r>
      <w:proofErr w:type="spellEnd"/>
      <w:r w:rsidRPr="00325B0D">
        <w:t xml:space="preserve"> et al (2019) was a publication where the study design and QAQC were appropriate. Data for root vegetables were used from this paper (see Table 2), however, the data on Alfalfa sprouts was not used. This is because sprouts are not consumed in typical green vegetable amounts and are therefore not considered suitable representatives for the green vegetable category. High TF for PFAS in sprouts was also found as part of the TF review in OEH (2019) and were excluded at the time for the same reasons.</w:t>
      </w:r>
    </w:p>
    <w:p w14:paraId="62BB8E46" w14:textId="450E27D8" w:rsidR="00F875E3" w:rsidRPr="00325B0D" w:rsidRDefault="00F875E3" w:rsidP="004D4E7D">
      <w:pPr>
        <w:pStyle w:val="ListBullet"/>
      </w:pPr>
      <w:r w:rsidRPr="00325B0D">
        <w:t xml:space="preserve">Liu et al. (2019) was not used in the derivation of TFs as the study was conducted </w:t>
      </w:r>
      <w:proofErr w:type="gramStart"/>
      <w:r w:rsidRPr="00325B0D">
        <w:t>in close proximity to</w:t>
      </w:r>
      <w:proofErr w:type="gramEnd"/>
      <w:r w:rsidRPr="00325B0D">
        <w:t xml:space="preserve"> a large fluorochemical production facility in China (0.3 km to 10 km distance to the facility). The authors had discussed the potential for plant uptake of airborne PFAS, which may skew the results, especially for leafy vegetable parts grown above-ground. Detection of high levels of PFAS in rainwater from the area around the facility may confirm high loads of airborne PFAS (Liu et al. 2017) and recent literature have confirmed that plant </w:t>
      </w:r>
      <w:r w:rsidRPr="00325B0D">
        <w:lastRenderedPageBreak/>
        <w:t xml:space="preserve">leaves may adsorb PFAS from the atmosphere (Chen et al. 2018, Tian et al. 2018). Nonetheless, the highest TFs from the paper for appropriate fruit and vegetable categories were used in a sensitivity analysis to determine if currently adopted PFOA TFs are protective (Details in </w:t>
      </w:r>
      <w:hyperlink w:anchor="_Appendix_B:_Sensitivity" w:history="1">
        <w:r w:rsidRPr="00110CD0">
          <w:rPr>
            <w:rStyle w:val="Hyperlink"/>
          </w:rPr>
          <w:t>Appendix B</w:t>
        </w:r>
      </w:hyperlink>
      <w:r w:rsidRPr="00325B0D">
        <w:t xml:space="preserve">). </w:t>
      </w:r>
    </w:p>
    <w:p w14:paraId="504DFD74" w14:textId="24851F1D" w:rsidR="00F875E3" w:rsidRDefault="00F875E3" w:rsidP="00F875E3">
      <w:r w:rsidRPr="006729BF">
        <w:t xml:space="preserve">Only studies that </w:t>
      </w:r>
      <w:r>
        <w:t>had</w:t>
      </w:r>
      <w:r w:rsidRPr="006729BF">
        <w:t xml:space="preserve"> TFs higher than TFs for PFOA in OEH (2019) where considered further.</w:t>
      </w:r>
      <w:r w:rsidRPr="00620659">
        <w:t xml:space="preserve"> </w:t>
      </w:r>
      <w:r w:rsidRPr="00CD3D55">
        <w:t xml:space="preserve">Three papers were identified that contained </w:t>
      </w:r>
      <w:r>
        <w:t xml:space="preserve">higher TFs and were </w:t>
      </w:r>
      <w:r w:rsidRPr="00CD3D55">
        <w:t xml:space="preserve">suitable for the derivation of updated TFs: </w:t>
      </w:r>
      <w:proofErr w:type="spellStart"/>
      <w:r w:rsidRPr="00CD3D55">
        <w:t>Gredelj</w:t>
      </w:r>
      <w:proofErr w:type="spellEnd"/>
      <w:r w:rsidRPr="00CD3D55">
        <w:t xml:space="preserve"> et al. </w:t>
      </w:r>
      <w:r>
        <w:t>(</w:t>
      </w:r>
      <w:r w:rsidRPr="00CD3D55">
        <w:t>2020</w:t>
      </w:r>
      <w:r>
        <w:t>)</w:t>
      </w:r>
      <w:r w:rsidRPr="00CD3D55">
        <w:t xml:space="preserve">, </w:t>
      </w:r>
      <w:proofErr w:type="spellStart"/>
      <w:r w:rsidRPr="00CD3D55">
        <w:t>Lasee</w:t>
      </w:r>
      <w:proofErr w:type="spellEnd"/>
      <w:r w:rsidRPr="00CD3D55">
        <w:t xml:space="preserve"> et al. </w:t>
      </w:r>
      <w:r>
        <w:t>(</w:t>
      </w:r>
      <w:r w:rsidRPr="00CD3D55">
        <w:t>2019</w:t>
      </w:r>
      <w:r>
        <w:t>)</w:t>
      </w:r>
      <w:r w:rsidRPr="00CD3D55">
        <w:t xml:space="preserve"> and Bao et al. </w:t>
      </w:r>
      <w:r>
        <w:t>(</w:t>
      </w:r>
      <w:r w:rsidRPr="00CD3D55">
        <w:t>2020</w:t>
      </w:r>
      <w:r>
        <w:t>)</w:t>
      </w:r>
      <w:r w:rsidRPr="00CD3D55">
        <w:t xml:space="preserve">. </w:t>
      </w:r>
      <w:r>
        <w:t>All the assessed papers from OEH (2019) and th</w:t>
      </w:r>
      <w:r w:rsidR="00672200">
        <w:t>ese new</w:t>
      </w:r>
      <w:r>
        <w:t xml:space="preserve"> paper</w:t>
      </w:r>
      <w:r w:rsidR="00672200">
        <w:t>s</w:t>
      </w:r>
      <w:r>
        <w:t xml:space="preserve"> are presented in </w:t>
      </w:r>
      <w:r w:rsidR="006E6194">
        <w:fldChar w:fldCharType="begin"/>
      </w:r>
      <w:r w:rsidR="006E6194">
        <w:instrText xml:space="preserve"> REF _Ref112679266 \h </w:instrText>
      </w:r>
      <w:r w:rsidR="006E6194">
        <w:fldChar w:fldCharType="separate"/>
      </w:r>
      <w:r w:rsidR="006E6194">
        <w:t>Table A</w:t>
      </w:r>
      <w:r w:rsidR="006E6194">
        <w:rPr>
          <w:noProof/>
        </w:rPr>
        <w:t>4</w:t>
      </w:r>
      <w:r w:rsidR="006E6194">
        <w:fldChar w:fldCharType="end"/>
      </w:r>
      <w:r w:rsidRPr="00CE2AFC">
        <w:t>.</w:t>
      </w:r>
      <w:r>
        <w:t xml:space="preserve"> </w:t>
      </w:r>
    </w:p>
    <w:p w14:paraId="5B0125CD" w14:textId="4063730F" w:rsidR="00F875E3" w:rsidRDefault="00F875E3" w:rsidP="00F875E3">
      <w:r w:rsidRPr="00A35397">
        <w:t>When these TFs are used to derive the HIL A, the resulting HIL A value is 0.15 mg/kg. In the sensitivity analysis, the HIL A criterion results in a similar value of 0.</w:t>
      </w:r>
      <w:r w:rsidR="00672200">
        <w:t>0</w:t>
      </w:r>
      <w:r w:rsidRPr="00A35397">
        <w:t xml:space="preserve">9 mg/kg (see </w:t>
      </w:r>
      <w:hyperlink w:anchor="_Appendix_B:_Sensitivity" w:history="1">
        <w:r w:rsidRPr="00110CD0">
          <w:rPr>
            <w:rStyle w:val="Hyperlink"/>
          </w:rPr>
          <w:t>Appendix B</w:t>
        </w:r>
      </w:hyperlink>
      <w:r w:rsidRPr="00A35397">
        <w:t>). Both these values are close to the existing HIL A guidance for PFOA (0.1 mg/kg) reported in NEMP 1.0 and 2.0, which was based on limited data on PFOA transfer factors and incorporated a safety factor. As the calculations and sensitivity analysis based on the new data are within a similar range, the NCWG has retained the PFOA HIL A criterion of 0.1 mg/kg.</w:t>
      </w:r>
    </w:p>
    <w:p w14:paraId="41B2AA17" w14:textId="3887242C" w:rsidR="00C96EE9" w:rsidRDefault="006E6194" w:rsidP="00C96EE9">
      <w:pPr>
        <w:pStyle w:val="Caption"/>
      </w:pPr>
      <w:bookmarkStart w:id="43" w:name="_Ref112679266"/>
      <w:bookmarkStart w:id="44" w:name="_Toc113611833"/>
      <w:r>
        <w:t>Table A</w:t>
      </w:r>
      <w:r w:rsidR="008D7C8F">
        <w:fldChar w:fldCharType="begin"/>
      </w:r>
      <w:r w:rsidR="008D7C8F">
        <w:instrText xml:space="preserve"> SEQ Table_A \* ARABIC </w:instrText>
      </w:r>
      <w:r w:rsidR="008D7C8F">
        <w:fldChar w:fldCharType="separate"/>
      </w:r>
      <w:r>
        <w:rPr>
          <w:noProof/>
        </w:rPr>
        <w:t>4</w:t>
      </w:r>
      <w:r w:rsidR="008D7C8F">
        <w:rPr>
          <w:noProof/>
        </w:rPr>
        <w:fldChar w:fldCharType="end"/>
      </w:r>
      <w:bookmarkEnd w:id="43"/>
      <w:r>
        <w:t xml:space="preserve"> </w:t>
      </w:r>
      <w:r w:rsidR="00C96EE9" w:rsidRPr="00A0499E">
        <w:t>PFOA soil to plant transfer factors (TF as mg/</w:t>
      </w:r>
      <w:proofErr w:type="spellStart"/>
      <w:r w:rsidR="00C96EE9" w:rsidRPr="00A0499E">
        <w:t>kg</w:t>
      </w:r>
      <w:r w:rsidR="00C96EE9" w:rsidRPr="004636DE">
        <w:rPr>
          <w:vertAlign w:val="subscript"/>
        </w:rPr>
        <w:t>plant</w:t>
      </w:r>
      <w:proofErr w:type="spellEnd"/>
      <w:r w:rsidR="00C96EE9" w:rsidRPr="00A0499E">
        <w:t xml:space="preserve"> / mg/</w:t>
      </w:r>
      <w:proofErr w:type="spellStart"/>
      <w:r w:rsidR="00C96EE9" w:rsidRPr="00A0499E">
        <w:t>kg</w:t>
      </w:r>
      <w:r w:rsidR="00C96EE9" w:rsidRPr="004636DE">
        <w:rPr>
          <w:vertAlign w:val="subscript"/>
        </w:rPr>
        <w:t>soil</w:t>
      </w:r>
      <w:proofErr w:type="spellEnd"/>
      <w:r w:rsidR="00C96EE9" w:rsidRPr="00A0499E">
        <w:t xml:space="preserve">) for ASC NEPM plant categories, calculated from data in the listed data sources. DW = dry weight; WW = wet weight; NR = not required as plant concentrations on wet weight basis were </w:t>
      </w:r>
      <w:r w:rsidR="00C96EE9" w:rsidRPr="000E0CBA">
        <w:t>ava</w:t>
      </w:r>
      <w:r w:rsidR="002042F9" w:rsidRPr="000E0CBA">
        <w:t>ilable</w:t>
      </w:r>
      <w:r w:rsidR="000E0CBA" w:rsidRPr="000E0CBA">
        <w:t>.</w:t>
      </w:r>
      <w:bookmarkEnd w:id="44"/>
    </w:p>
    <w:tbl>
      <w:tblPr>
        <w:tblW w:w="9923" w:type="dxa"/>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 PFOA soil to plant transfer factors for ASC NEMP."/>
        <w:tblDescription w:val="Transfer factors for PFOA in soil to plants is shown. Of the green vegetables, lettuce had the highest transfer factor. Of the root vegetables, radish had the highest transfer factor. Of the tuber vegetables potatoe peel had the highest transfer factor and of the fruit, cucumber had the highest transfer factor."/>
      </w:tblPr>
      <w:tblGrid>
        <w:gridCol w:w="1027"/>
        <w:gridCol w:w="1300"/>
        <w:gridCol w:w="1574"/>
        <w:gridCol w:w="1463"/>
        <w:gridCol w:w="1865"/>
        <w:gridCol w:w="1368"/>
        <w:gridCol w:w="1326"/>
      </w:tblGrid>
      <w:tr w:rsidR="00FE1CA5" w14:paraId="0A9C3D7E" w14:textId="1B2FE209" w:rsidTr="009B3E18">
        <w:trPr>
          <w:tblHeader/>
        </w:trPr>
        <w:tc>
          <w:tcPr>
            <w:tcW w:w="0" w:type="auto"/>
          </w:tcPr>
          <w:p w14:paraId="594359F2" w14:textId="2203DEF0" w:rsidR="006A15B1" w:rsidRDefault="002F6FA5" w:rsidP="006A15B1">
            <w:pPr>
              <w:pStyle w:val="TableHeading"/>
            </w:pPr>
            <w:r>
              <w:rPr>
                <w:rFonts w:cs="Arial"/>
                <w:bCs/>
                <w:sz w:val="20"/>
                <w:szCs w:val="20"/>
              </w:rPr>
              <w:t>Group</w:t>
            </w:r>
          </w:p>
        </w:tc>
        <w:tc>
          <w:tcPr>
            <w:tcW w:w="0" w:type="auto"/>
            <w:tcMar>
              <w:left w:w="108" w:type="dxa"/>
              <w:right w:w="108" w:type="dxa"/>
            </w:tcMar>
          </w:tcPr>
          <w:p w14:paraId="07DE8A5C" w14:textId="6B2CAB51" w:rsidR="006A15B1" w:rsidRDefault="006A15B1" w:rsidP="006A15B1">
            <w:pPr>
              <w:pStyle w:val="TableHeading"/>
            </w:pPr>
            <w:r w:rsidRPr="00325B0D">
              <w:rPr>
                <w:rFonts w:cs="Arial"/>
                <w:bCs/>
                <w:sz w:val="20"/>
                <w:szCs w:val="20"/>
              </w:rPr>
              <w:t>Plant</w:t>
            </w:r>
            <w:r w:rsidDel="006A15B1">
              <w:rPr>
                <w:rFonts w:cs="Arial"/>
                <w:bCs/>
                <w:sz w:val="20"/>
                <w:szCs w:val="20"/>
              </w:rPr>
              <w:t xml:space="preserve"> </w:t>
            </w:r>
          </w:p>
        </w:tc>
        <w:tc>
          <w:tcPr>
            <w:tcW w:w="0" w:type="auto"/>
            <w:tcMar>
              <w:left w:w="108" w:type="dxa"/>
              <w:right w:w="108" w:type="dxa"/>
            </w:tcMar>
          </w:tcPr>
          <w:p w14:paraId="7F6E9F0B" w14:textId="2BB543AE" w:rsidR="006A15B1" w:rsidRDefault="006A15B1" w:rsidP="006A15B1">
            <w:pPr>
              <w:pStyle w:val="TableHeading"/>
            </w:pPr>
            <w:r>
              <w:rPr>
                <w:rFonts w:cs="Arial"/>
                <w:bCs/>
                <w:sz w:val="20"/>
                <w:szCs w:val="20"/>
              </w:rPr>
              <w:t xml:space="preserve">PFOA </w:t>
            </w:r>
            <w:r w:rsidRPr="00325B0D">
              <w:rPr>
                <w:rFonts w:cs="Arial"/>
                <w:bCs/>
                <w:sz w:val="20"/>
                <w:szCs w:val="20"/>
              </w:rPr>
              <w:t>TF</w:t>
            </w:r>
          </w:p>
        </w:tc>
        <w:tc>
          <w:tcPr>
            <w:tcW w:w="0" w:type="auto"/>
            <w:tcMar>
              <w:left w:w="108" w:type="dxa"/>
              <w:right w:w="108" w:type="dxa"/>
            </w:tcMar>
          </w:tcPr>
          <w:p w14:paraId="51D86EF8" w14:textId="5C52649F" w:rsidR="006A15B1" w:rsidRDefault="002F6FA5" w:rsidP="006A15B1">
            <w:pPr>
              <w:pStyle w:val="TableHeading"/>
            </w:pPr>
            <w:r>
              <w:rPr>
                <w:rFonts w:cs="Arial"/>
                <w:bCs/>
                <w:sz w:val="20"/>
                <w:szCs w:val="20"/>
              </w:rPr>
              <w:t>Calculation b</w:t>
            </w:r>
            <w:r w:rsidR="006A15B1" w:rsidRPr="00325B0D">
              <w:rPr>
                <w:rFonts w:cs="Arial"/>
                <w:bCs/>
                <w:sz w:val="20"/>
                <w:szCs w:val="20"/>
              </w:rPr>
              <w:t>asis</w:t>
            </w:r>
          </w:p>
        </w:tc>
        <w:tc>
          <w:tcPr>
            <w:tcW w:w="0" w:type="auto"/>
            <w:tcMar>
              <w:left w:w="108" w:type="dxa"/>
              <w:right w:w="108" w:type="dxa"/>
            </w:tcMar>
          </w:tcPr>
          <w:p w14:paraId="7725F13D" w14:textId="59D69282" w:rsidR="006A15B1" w:rsidRPr="004F35C7" w:rsidRDefault="006A15B1" w:rsidP="006A15B1">
            <w:pPr>
              <w:pStyle w:val="TableHeading"/>
              <w:rPr>
                <w:vertAlign w:val="superscript"/>
              </w:rPr>
            </w:pPr>
            <w:r w:rsidRPr="00325B0D">
              <w:rPr>
                <w:rFonts w:cs="Arial"/>
                <w:bCs/>
                <w:sz w:val="20"/>
                <w:szCs w:val="20"/>
              </w:rPr>
              <w:t>Data source</w:t>
            </w:r>
          </w:p>
        </w:tc>
        <w:tc>
          <w:tcPr>
            <w:tcW w:w="0" w:type="auto"/>
          </w:tcPr>
          <w:p w14:paraId="05A4A680" w14:textId="23D71F0A" w:rsidR="006A15B1" w:rsidRPr="00C74E4C" w:rsidRDefault="006A15B1" w:rsidP="006A15B1">
            <w:pPr>
              <w:pStyle w:val="TableHeading"/>
              <w:rPr>
                <w:vertAlign w:val="superscript"/>
              </w:rPr>
            </w:pPr>
            <w:r w:rsidRPr="00325B0D">
              <w:rPr>
                <w:rFonts w:cs="Arial"/>
                <w:bCs/>
                <w:sz w:val="20"/>
                <w:szCs w:val="20"/>
              </w:rPr>
              <w:t xml:space="preserve">% </w:t>
            </w:r>
            <w:proofErr w:type="gramStart"/>
            <w:r w:rsidRPr="00325B0D">
              <w:rPr>
                <w:rFonts w:cs="Arial"/>
                <w:bCs/>
                <w:sz w:val="20"/>
                <w:szCs w:val="20"/>
              </w:rPr>
              <w:t>moisture</w:t>
            </w:r>
            <w:proofErr w:type="gramEnd"/>
            <w:r w:rsidRPr="00325B0D">
              <w:rPr>
                <w:rFonts w:cs="Arial"/>
                <w:bCs/>
                <w:sz w:val="20"/>
                <w:szCs w:val="20"/>
              </w:rPr>
              <w:t xml:space="preserve"> content </w:t>
            </w:r>
            <w:r w:rsidR="008950CA">
              <w:rPr>
                <w:rFonts w:cs="Arial"/>
                <w:bCs/>
                <w:sz w:val="20"/>
                <w:szCs w:val="20"/>
                <w:vertAlign w:val="superscript"/>
              </w:rPr>
              <w:t>a</w:t>
            </w:r>
          </w:p>
        </w:tc>
        <w:tc>
          <w:tcPr>
            <w:tcW w:w="1326" w:type="dxa"/>
          </w:tcPr>
          <w:p w14:paraId="16FF3895" w14:textId="3D35D1B8" w:rsidR="006A15B1" w:rsidRPr="00325B0D" w:rsidRDefault="006A15B1" w:rsidP="006A15B1">
            <w:pPr>
              <w:pStyle w:val="TableHeading"/>
              <w:rPr>
                <w:rFonts w:cs="Arial"/>
                <w:bCs/>
                <w:sz w:val="20"/>
                <w:szCs w:val="20"/>
              </w:rPr>
            </w:pPr>
            <w:r w:rsidRPr="00325B0D">
              <w:rPr>
                <w:rFonts w:cs="Arial"/>
                <w:bCs/>
                <w:sz w:val="20"/>
                <w:szCs w:val="20"/>
              </w:rPr>
              <w:t xml:space="preserve">Max. TF adjusted to WW </w:t>
            </w:r>
          </w:p>
        </w:tc>
      </w:tr>
      <w:tr w:rsidR="006E6194" w14:paraId="218E745B" w14:textId="77777777" w:rsidTr="009B3E18">
        <w:tc>
          <w:tcPr>
            <w:tcW w:w="0" w:type="auto"/>
          </w:tcPr>
          <w:p w14:paraId="486BFFFE" w14:textId="77777777" w:rsidR="002F6FA5" w:rsidRDefault="002F6FA5" w:rsidP="006A15B1">
            <w:pPr>
              <w:pStyle w:val="TableText0"/>
            </w:pPr>
          </w:p>
        </w:tc>
        <w:tc>
          <w:tcPr>
            <w:tcW w:w="0" w:type="auto"/>
            <w:shd w:val="clear" w:color="auto" w:fill="FFFFFF" w:themeFill="background1"/>
            <w:tcMar>
              <w:left w:w="108" w:type="dxa"/>
              <w:right w:w="108" w:type="dxa"/>
            </w:tcMar>
          </w:tcPr>
          <w:p w14:paraId="72488B89" w14:textId="77777777" w:rsidR="002F6FA5" w:rsidRPr="00C96EE9" w:rsidDel="006A15B1" w:rsidRDefault="002F6FA5" w:rsidP="006A15B1">
            <w:pPr>
              <w:pStyle w:val="TableText0"/>
              <w:rPr>
                <w:rFonts w:cstheme="minorHAnsi"/>
                <w:b/>
                <w:bCs/>
                <w:sz w:val="20"/>
                <w:szCs w:val="20"/>
              </w:rPr>
            </w:pPr>
          </w:p>
        </w:tc>
        <w:tc>
          <w:tcPr>
            <w:tcW w:w="0" w:type="auto"/>
            <w:shd w:val="clear" w:color="auto" w:fill="FFFFFF" w:themeFill="background1"/>
            <w:tcMar>
              <w:left w:w="108" w:type="dxa"/>
              <w:right w:w="108" w:type="dxa"/>
            </w:tcMar>
          </w:tcPr>
          <w:p w14:paraId="641E05EC" w14:textId="227AE475" w:rsidR="002F6FA5" w:rsidRPr="00C96EE9" w:rsidDel="006A15B1" w:rsidRDefault="002F6FA5" w:rsidP="006A15B1">
            <w:pPr>
              <w:pStyle w:val="TableText0"/>
              <w:rPr>
                <w:rFonts w:cstheme="minorHAnsi"/>
                <w:b/>
                <w:bCs/>
                <w:sz w:val="20"/>
                <w:szCs w:val="20"/>
              </w:rPr>
            </w:pPr>
            <w:r w:rsidRPr="00FB6CFC">
              <w:t>(mg/</w:t>
            </w:r>
            <w:proofErr w:type="spellStart"/>
            <w:r w:rsidRPr="00FB6CFC">
              <w:t>kg</w:t>
            </w:r>
            <w:r w:rsidRPr="00C535CF">
              <w:rPr>
                <w:vertAlign w:val="subscript"/>
              </w:rPr>
              <w:t>plant</w:t>
            </w:r>
            <w:proofErr w:type="spellEnd"/>
            <w:r w:rsidRPr="00FB6CFC">
              <w:t>)/ (mg/</w:t>
            </w:r>
            <w:proofErr w:type="spellStart"/>
            <w:r w:rsidRPr="00FB6CFC">
              <w:t>kg</w:t>
            </w:r>
            <w:r w:rsidRPr="00C535CF">
              <w:rPr>
                <w:vertAlign w:val="subscript"/>
              </w:rPr>
              <w:t>soil</w:t>
            </w:r>
            <w:proofErr w:type="spellEnd"/>
            <w:r w:rsidRPr="00FB6CFC">
              <w:t>)</w:t>
            </w:r>
          </w:p>
        </w:tc>
        <w:tc>
          <w:tcPr>
            <w:tcW w:w="0" w:type="auto"/>
            <w:shd w:val="clear" w:color="auto" w:fill="FFFFFF" w:themeFill="background1"/>
            <w:tcMar>
              <w:left w:w="108" w:type="dxa"/>
              <w:right w:w="108" w:type="dxa"/>
            </w:tcMar>
          </w:tcPr>
          <w:p w14:paraId="6ED61203" w14:textId="77777777" w:rsidR="002F6FA5" w:rsidRPr="00C96EE9" w:rsidDel="006A15B1" w:rsidRDefault="002F6FA5" w:rsidP="006A15B1">
            <w:pPr>
              <w:pStyle w:val="TableText0"/>
              <w:rPr>
                <w:rFonts w:cstheme="minorHAnsi"/>
                <w:b/>
                <w:bCs/>
                <w:sz w:val="20"/>
                <w:szCs w:val="20"/>
              </w:rPr>
            </w:pPr>
          </w:p>
        </w:tc>
        <w:tc>
          <w:tcPr>
            <w:tcW w:w="0" w:type="auto"/>
            <w:shd w:val="clear" w:color="auto" w:fill="FFFFFF" w:themeFill="background1"/>
            <w:tcMar>
              <w:left w:w="108" w:type="dxa"/>
              <w:right w:w="108" w:type="dxa"/>
            </w:tcMar>
          </w:tcPr>
          <w:p w14:paraId="257DF0C8" w14:textId="77777777" w:rsidR="002F6FA5" w:rsidRPr="00C96EE9" w:rsidDel="006A15B1" w:rsidRDefault="002F6FA5" w:rsidP="006A15B1">
            <w:pPr>
              <w:pStyle w:val="TableText0"/>
              <w:rPr>
                <w:rFonts w:cstheme="minorHAnsi"/>
                <w:b/>
                <w:bCs/>
                <w:sz w:val="20"/>
                <w:szCs w:val="20"/>
              </w:rPr>
            </w:pPr>
          </w:p>
        </w:tc>
        <w:tc>
          <w:tcPr>
            <w:tcW w:w="0" w:type="auto"/>
            <w:shd w:val="clear" w:color="auto" w:fill="FFFFFF" w:themeFill="background1"/>
          </w:tcPr>
          <w:p w14:paraId="6B8AED83" w14:textId="77777777" w:rsidR="002F6FA5" w:rsidRPr="00C96EE9" w:rsidDel="006A15B1" w:rsidRDefault="002F6FA5" w:rsidP="006A15B1">
            <w:pPr>
              <w:pStyle w:val="TableText0"/>
              <w:rPr>
                <w:rFonts w:cstheme="minorHAnsi"/>
                <w:b/>
                <w:bCs/>
                <w:sz w:val="20"/>
                <w:szCs w:val="20"/>
              </w:rPr>
            </w:pPr>
          </w:p>
        </w:tc>
        <w:tc>
          <w:tcPr>
            <w:tcW w:w="1326" w:type="dxa"/>
            <w:shd w:val="clear" w:color="auto" w:fill="FFFFFF" w:themeFill="background1"/>
          </w:tcPr>
          <w:p w14:paraId="4BC6B805" w14:textId="77777777" w:rsidR="002F6FA5" w:rsidRPr="00C96EE9" w:rsidRDefault="002F6FA5" w:rsidP="006A15B1">
            <w:pPr>
              <w:pStyle w:val="TableText0"/>
              <w:rPr>
                <w:rFonts w:cstheme="minorHAnsi"/>
                <w:b/>
                <w:bCs/>
                <w:sz w:val="20"/>
                <w:szCs w:val="20"/>
              </w:rPr>
            </w:pPr>
          </w:p>
        </w:tc>
      </w:tr>
      <w:tr w:rsidR="006E6194" w14:paraId="26837243" w14:textId="13CDC598" w:rsidTr="009B3E18">
        <w:tc>
          <w:tcPr>
            <w:tcW w:w="0" w:type="auto"/>
            <w:vMerge w:val="restart"/>
          </w:tcPr>
          <w:p w14:paraId="350CECDF" w14:textId="6916DDDB" w:rsidR="002C211B" w:rsidRPr="00DA71B8" w:rsidRDefault="002C211B" w:rsidP="006A15B1">
            <w:pPr>
              <w:pStyle w:val="TableText0"/>
            </w:pPr>
            <w:r>
              <w:t xml:space="preserve">Green vegetable </w:t>
            </w:r>
          </w:p>
        </w:tc>
        <w:tc>
          <w:tcPr>
            <w:tcW w:w="0" w:type="auto"/>
            <w:shd w:val="clear" w:color="auto" w:fill="FFFFFF" w:themeFill="background1"/>
            <w:tcMar>
              <w:left w:w="108" w:type="dxa"/>
              <w:right w:w="108" w:type="dxa"/>
            </w:tcMar>
          </w:tcPr>
          <w:p w14:paraId="4BE7FB61" w14:textId="3754ADBA" w:rsidR="002C211B" w:rsidRPr="00C96EE9" w:rsidRDefault="002C211B" w:rsidP="006A15B1">
            <w:pPr>
              <w:pStyle w:val="TableText0"/>
              <w:rPr>
                <w:b/>
                <w:bCs/>
              </w:rPr>
            </w:pPr>
            <w:r w:rsidRPr="00C96EE9">
              <w:rPr>
                <w:rFonts w:cs="Arial"/>
                <w:b/>
                <w:bCs/>
                <w:sz w:val="20"/>
                <w:szCs w:val="20"/>
              </w:rPr>
              <w:t xml:space="preserve">Chicory head </w:t>
            </w:r>
            <w:r w:rsidRPr="00C535CF">
              <w:rPr>
                <w:b/>
                <w:bCs/>
                <w:sz w:val="20"/>
                <w:szCs w:val="20"/>
                <w:vertAlign w:val="superscript"/>
              </w:rPr>
              <w:t>d</w:t>
            </w:r>
          </w:p>
        </w:tc>
        <w:tc>
          <w:tcPr>
            <w:tcW w:w="0" w:type="auto"/>
            <w:shd w:val="clear" w:color="auto" w:fill="FFFFFF" w:themeFill="background1"/>
            <w:tcMar>
              <w:left w:w="108" w:type="dxa"/>
              <w:right w:w="108" w:type="dxa"/>
            </w:tcMar>
          </w:tcPr>
          <w:p w14:paraId="1DA3A64F" w14:textId="4836274C" w:rsidR="002C211B" w:rsidRPr="004F35C7" w:rsidRDefault="002C211B" w:rsidP="006A15B1">
            <w:pPr>
              <w:pStyle w:val="TableText0"/>
              <w:rPr>
                <w:b/>
                <w:bCs/>
                <w:vertAlign w:val="superscript"/>
              </w:rPr>
            </w:pPr>
            <w:r w:rsidRPr="00C96EE9">
              <w:rPr>
                <w:rFonts w:cs="Arial"/>
                <w:b/>
                <w:bCs/>
                <w:sz w:val="20"/>
                <w:szCs w:val="20"/>
              </w:rPr>
              <w:t>1.5 – 1.7</w:t>
            </w:r>
            <w:r>
              <w:rPr>
                <w:rFonts w:cs="Arial"/>
                <w:b/>
                <w:bCs/>
                <w:sz w:val="20"/>
                <w:szCs w:val="20"/>
              </w:rPr>
              <w:t xml:space="preserve"> </w:t>
            </w:r>
            <w:r>
              <w:rPr>
                <w:rFonts w:cs="Arial"/>
                <w:b/>
                <w:bCs/>
                <w:sz w:val="20"/>
                <w:szCs w:val="20"/>
                <w:vertAlign w:val="superscript"/>
              </w:rPr>
              <w:t>b</w:t>
            </w:r>
          </w:p>
        </w:tc>
        <w:tc>
          <w:tcPr>
            <w:tcW w:w="0" w:type="auto"/>
            <w:shd w:val="clear" w:color="auto" w:fill="FFFFFF" w:themeFill="background1"/>
            <w:tcMar>
              <w:left w:w="108" w:type="dxa"/>
              <w:right w:w="108" w:type="dxa"/>
            </w:tcMar>
          </w:tcPr>
          <w:p w14:paraId="2A2FF805" w14:textId="7EBF8963" w:rsidR="002C211B" w:rsidRPr="00C96EE9" w:rsidRDefault="002C211B" w:rsidP="006A15B1">
            <w:pPr>
              <w:pStyle w:val="TableText0"/>
              <w:rPr>
                <w:b/>
                <w:bCs/>
              </w:rPr>
            </w:pPr>
            <w:r w:rsidRPr="00C96EE9">
              <w:rPr>
                <w:rFonts w:cs="Arial"/>
                <w:b/>
                <w:bCs/>
                <w:sz w:val="20"/>
                <w:szCs w:val="20"/>
              </w:rPr>
              <w:t>DW</w:t>
            </w:r>
          </w:p>
        </w:tc>
        <w:tc>
          <w:tcPr>
            <w:tcW w:w="0" w:type="auto"/>
            <w:shd w:val="clear" w:color="auto" w:fill="FFFFFF" w:themeFill="background1"/>
            <w:tcMar>
              <w:left w:w="108" w:type="dxa"/>
              <w:right w:w="108" w:type="dxa"/>
            </w:tcMar>
          </w:tcPr>
          <w:p w14:paraId="0D4AB10F" w14:textId="39E30DB6" w:rsidR="002C211B" w:rsidRPr="00C96EE9" w:rsidRDefault="002C211B" w:rsidP="006A15B1">
            <w:pPr>
              <w:pStyle w:val="TableText0"/>
              <w:rPr>
                <w:b/>
                <w:bCs/>
              </w:rPr>
            </w:pPr>
            <w:proofErr w:type="spellStart"/>
            <w:r w:rsidRPr="00C96EE9">
              <w:rPr>
                <w:rFonts w:cs="Arial"/>
                <w:b/>
                <w:bCs/>
                <w:sz w:val="20"/>
                <w:szCs w:val="20"/>
              </w:rPr>
              <w:t>Gredelj</w:t>
            </w:r>
            <w:proofErr w:type="spellEnd"/>
            <w:r w:rsidRPr="00C96EE9">
              <w:rPr>
                <w:rFonts w:cs="Arial"/>
                <w:b/>
                <w:bCs/>
                <w:sz w:val="20"/>
                <w:szCs w:val="20"/>
              </w:rPr>
              <w:t xml:space="preserve"> et al. 2020</w:t>
            </w:r>
          </w:p>
        </w:tc>
        <w:tc>
          <w:tcPr>
            <w:tcW w:w="0" w:type="auto"/>
            <w:shd w:val="clear" w:color="auto" w:fill="FFFFFF" w:themeFill="background1"/>
          </w:tcPr>
          <w:p w14:paraId="05774CBE" w14:textId="46997749" w:rsidR="002C211B" w:rsidRPr="00C96EE9" w:rsidRDefault="002C211B" w:rsidP="006A15B1">
            <w:pPr>
              <w:pStyle w:val="TableText0"/>
              <w:rPr>
                <w:rFonts w:cstheme="minorHAnsi"/>
                <w:b/>
                <w:bCs/>
                <w:sz w:val="20"/>
                <w:szCs w:val="20"/>
              </w:rPr>
            </w:pPr>
            <w:r w:rsidRPr="00C96EE9">
              <w:rPr>
                <w:rFonts w:cs="Arial"/>
                <w:b/>
                <w:bCs/>
                <w:sz w:val="20"/>
                <w:szCs w:val="20"/>
              </w:rPr>
              <w:t>92</w:t>
            </w:r>
          </w:p>
        </w:tc>
        <w:tc>
          <w:tcPr>
            <w:tcW w:w="1326" w:type="dxa"/>
            <w:shd w:val="clear" w:color="auto" w:fill="FFFFFF" w:themeFill="background1"/>
          </w:tcPr>
          <w:p w14:paraId="5822039A" w14:textId="56F02350" w:rsidR="002C211B" w:rsidRPr="00C96EE9" w:rsidRDefault="002C211B" w:rsidP="006A15B1">
            <w:pPr>
              <w:pStyle w:val="TableText0"/>
              <w:rPr>
                <w:rFonts w:cs="Arial"/>
                <w:b/>
                <w:bCs/>
                <w:sz w:val="20"/>
                <w:szCs w:val="20"/>
              </w:rPr>
            </w:pPr>
            <w:r>
              <w:rPr>
                <w:rFonts w:cs="Arial"/>
                <w:b/>
                <w:bCs/>
                <w:sz w:val="20"/>
                <w:szCs w:val="20"/>
              </w:rPr>
              <w:t>0.14</w:t>
            </w:r>
          </w:p>
        </w:tc>
      </w:tr>
      <w:tr w:rsidR="006E6194" w14:paraId="7232F995" w14:textId="2BF10B4E" w:rsidTr="009B3E18">
        <w:tc>
          <w:tcPr>
            <w:tcW w:w="0" w:type="auto"/>
            <w:vMerge/>
          </w:tcPr>
          <w:p w14:paraId="0329C0D5" w14:textId="77777777" w:rsidR="002C211B" w:rsidRPr="00DA71B8" w:rsidRDefault="002C211B" w:rsidP="006A15B1">
            <w:pPr>
              <w:pStyle w:val="TableText0"/>
            </w:pPr>
          </w:p>
        </w:tc>
        <w:tc>
          <w:tcPr>
            <w:tcW w:w="0" w:type="auto"/>
            <w:shd w:val="clear" w:color="auto" w:fill="FFFFFF" w:themeFill="background1"/>
            <w:tcMar>
              <w:left w:w="108" w:type="dxa"/>
              <w:right w:w="108" w:type="dxa"/>
            </w:tcMar>
          </w:tcPr>
          <w:p w14:paraId="73D75B2E" w14:textId="088206A3" w:rsidR="002C211B" w:rsidRPr="004636DE" w:rsidRDefault="002C211B" w:rsidP="006A15B1">
            <w:pPr>
              <w:pStyle w:val="TableText0"/>
              <w:rPr>
                <w:rFonts w:cstheme="minorHAnsi"/>
                <w:b/>
                <w:sz w:val="20"/>
                <w:szCs w:val="20"/>
              </w:rPr>
            </w:pPr>
            <w:r w:rsidRPr="004636DE">
              <w:rPr>
                <w:rFonts w:cs="Arial"/>
                <w:b/>
                <w:sz w:val="20"/>
                <w:szCs w:val="20"/>
              </w:rPr>
              <w:t xml:space="preserve">Chicory shoot </w:t>
            </w:r>
            <w:r w:rsidRPr="00C535CF">
              <w:rPr>
                <w:b/>
                <w:bCs/>
                <w:sz w:val="20"/>
                <w:szCs w:val="20"/>
                <w:vertAlign w:val="superscript"/>
              </w:rPr>
              <w:t>d</w:t>
            </w:r>
          </w:p>
        </w:tc>
        <w:tc>
          <w:tcPr>
            <w:tcW w:w="0" w:type="auto"/>
            <w:shd w:val="clear" w:color="auto" w:fill="FFFFFF" w:themeFill="background1"/>
            <w:tcMar>
              <w:left w:w="108" w:type="dxa"/>
              <w:right w:w="108" w:type="dxa"/>
            </w:tcMar>
          </w:tcPr>
          <w:p w14:paraId="27D1EF92" w14:textId="45A96FD0" w:rsidR="002C211B" w:rsidRPr="004636DE" w:rsidRDefault="002C211B" w:rsidP="006A15B1">
            <w:pPr>
              <w:pStyle w:val="TableText0"/>
              <w:rPr>
                <w:rFonts w:cstheme="minorHAnsi"/>
                <w:b/>
                <w:sz w:val="20"/>
                <w:szCs w:val="20"/>
              </w:rPr>
            </w:pPr>
            <w:r w:rsidRPr="004636DE">
              <w:rPr>
                <w:rFonts w:cs="Arial"/>
                <w:b/>
                <w:sz w:val="20"/>
                <w:szCs w:val="20"/>
              </w:rPr>
              <w:t>1.2 – 1.8</w:t>
            </w:r>
          </w:p>
        </w:tc>
        <w:tc>
          <w:tcPr>
            <w:tcW w:w="0" w:type="auto"/>
            <w:shd w:val="clear" w:color="auto" w:fill="FFFFFF" w:themeFill="background1"/>
            <w:tcMar>
              <w:left w:w="108" w:type="dxa"/>
              <w:right w:w="108" w:type="dxa"/>
            </w:tcMar>
          </w:tcPr>
          <w:p w14:paraId="3BE0882F" w14:textId="103367EA" w:rsidR="002C211B" w:rsidRPr="004636DE" w:rsidRDefault="002C211B" w:rsidP="006A15B1">
            <w:pPr>
              <w:pStyle w:val="TableText0"/>
              <w:rPr>
                <w:rFonts w:cstheme="minorHAnsi"/>
                <w:b/>
                <w:sz w:val="20"/>
                <w:szCs w:val="20"/>
              </w:rPr>
            </w:pPr>
            <w:r w:rsidRPr="004636DE">
              <w:rPr>
                <w:rFonts w:cs="Arial"/>
                <w:b/>
                <w:sz w:val="20"/>
                <w:szCs w:val="20"/>
              </w:rPr>
              <w:t>DW</w:t>
            </w:r>
          </w:p>
        </w:tc>
        <w:tc>
          <w:tcPr>
            <w:tcW w:w="0" w:type="auto"/>
            <w:shd w:val="clear" w:color="auto" w:fill="FFFFFF" w:themeFill="background1"/>
            <w:tcMar>
              <w:left w:w="108" w:type="dxa"/>
              <w:right w:w="108" w:type="dxa"/>
            </w:tcMar>
          </w:tcPr>
          <w:p w14:paraId="2FD54C3D" w14:textId="1F263E52" w:rsidR="002C211B" w:rsidRPr="004636DE" w:rsidRDefault="002C211B" w:rsidP="006A15B1">
            <w:pPr>
              <w:pStyle w:val="TableText0"/>
              <w:rPr>
                <w:rFonts w:cstheme="minorHAnsi"/>
                <w:b/>
                <w:sz w:val="20"/>
                <w:szCs w:val="20"/>
              </w:rPr>
            </w:pPr>
            <w:proofErr w:type="spellStart"/>
            <w:r w:rsidRPr="004636DE">
              <w:rPr>
                <w:rFonts w:cs="Arial"/>
                <w:b/>
                <w:sz w:val="20"/>
                <w:szCs w:val="20"/>
              </w:rPr>
              <w:t>Gredelj</w:t>
            </w:r>
            <w:proofErr w:type="spellEnd"/>
            <w:r w:rsidRPr="004636DE">
              <w:rPr>
                <w:rFonts w:cs="Arial"/>
                <w:b/>
                <w:sz w:val="20"/>
                <w:szCs w:val="20"/>
              </w:rPr>
              <w:t xml:space="preserve"> et al. 2020</w:t>
            </w:r>
          </w:p>
        </w:tc>
        <w:tc>
          <w:tcPr>
            <w:tcW w:w="0" w:type="auto"/>
            <w:shd w:val="clear" w:color="auto" w:fill="FFFFFF" w:themeFill="background1"/>
          </w:tcPr>
          <w:p w14:paraId="24DA9FD8" w14:textId="7F4549E4" w:rsidR="002C211B" w:rsidRPr="004636DE" w:rsidRDefault="002C211B" w:rsidP="006A15B1">
            <w:pPr>
              <w:pStyle w:val="TableText0"/>
              <w:rPr>
                <w:rFonts w:cstheme="minorHAnsi"/>
                <w:b/>
                <w:sz w:val="20"/>
                <w:szCs w:val="20"/>
              </w:rPr>
            </w:pPr>
            <w:r w:rsidRPr="004636DE">
              <w:rPr>
                <w:rFonts w:cs="Arial"/>
                <w:b/>
                <w:sz w:val="20"/>
                <w:szCs w:val="20"/>
              </w:rPr>
              <w:t>92</w:t>
            </w:r>
          </w:p>
        </w:tc>
        <w:tc>
          <w:tcPr>
            <w:tcW w:w="1326" w:type="dxa"/>
            <w:shd w:val="clear" w:color="auto" w:fill="FFFFFF" w:themeFill="background1"/>
          </w:tcPr>
          <w:p w14:paraId="594B7970" w14:textId="12CEC626" w:rsidR="002C211B" w:rsidRPr="004636DE" w:rsidRDefault="002C211B" w:rsidP="006A15B1">
            <w:pPr>
              <w:pStyle w:val="TableText0"/>
              <w:rPr>
                <w:rFonts w:cs="Arial"/>
                <w:b/>
                <w:sz w:val="20"/>
                <w:szCs w:val="20"/>
              </w:rPr>
            </w:pPr>
            <w:r w:rsidRPr="004636DE">
              <w:rPr>
                <w:rFonts w:cs="Arial"/>
                <w:b/>
                <w:sz w:val="20"/>
                <w:szCs w:val="20"/>
              </w:rPr>
              <w:t>0.14</w:t>
            </w:r>
          </w:p>
        </w:tc>
      </w:tr>
      <w:tr w:rsidR="006E6194" w14:paraId="49742029" w14:textId="3F7EB02E" w:rsidTr="009B3E18">
        <w:tc>
          <w:tcPr>
            <w:tcW w:w="0" w:type="auto"/>
            <w:vMerge/>
          </w:tcPr>
          <w:p w14:paraId="3A704F74" w14:textId="77777777" w:rsidR="002C211B" w:rsidRPr="00DA71B8" w:rsidRDefault="002C211B" w:rsidP="006A15B1">
            <w:pPr>
              <w:pStyle w:val="TableText0"/>
            </w:pPr>
          </w:p>
        </w:tc>
        <w:tc>
          <w:tcPr>
            <w:tcW w:w="0" w:type="auto"/>
            <w:shd w:val="clear" w:color="auto" w:fill="FFFFFF" w:themeFill="background1"/>
            <w:tcMar>
              <w:left w:w="108" w:type="dxa"/>
              <w:right w:w="108" w:type="dxa"/>
            </w:tcMar>
          </w:tcPr>
          <w:p w14:paraId="01A4E41F" w14:textId="1FD84796" w:rsidR="002C211B" w:rsidRPr="00325B0D" w:rsidRDefault="002C211B" w:rsidP="006A15B1">
            <w:pPr>
              <w:pStyle w:val="TableText0"/>
              <w:rPr>
                <w:rFonts w:cstheme="minorHAnsi"/>
                <w:sz w:val="20"/>
                <w:szCs w:val="20"/>
              </w:rPr>
            </w:pPr>
            <w:r w:rsidRPr="00325B0D">
              <w:rPr>
                <w:rFonts w:cs="Arial"/>
                <w:sz w:val="20"/>
                <w:szCs w:val="20"/>
              </w:rPr>
              <w:t>Celery</w:t>
            </w:r>
          </w:p>
        </w:tc>
        <w:tc>
          <w:tcPr>
            <w:tcW w:w="0" w:type="auto"/>
            <w:shd w:val="clear" w:color="auto" w:fill="FFFFFF" w:themeFill="background1"/>
            <w:tcMar>
              <w:left w:w="108" w:type="dxa"/>
              <w:right w:w="108" w:type="dxa"/>
            </w:tcMar>
          </w:tcPr>
          <w:p w14:paraId="2DD0179C" w14:textId="473F112B" w:rsidR="002C211B" w:rsidRPr="00325B0D" w:rsidRDefault="002C211B" w:rsidP="006A15B1">
            <w:pPr>
              <w:pStyle w:val="TableText0"/>
              <w:rPr>
                <w:rFonts w:cstheme="minorHAnsi"/>
                <w:sz w:val="20"/>
                <w:szCs w:val="20"/>
              </w:rPr>
            </w:pPr>
            <w:r w:rsidRPr="00325B0D">
              <w:rPr>
                <w:rFonts w:cs="Arial"/>
                <w:sz w:val="20"/>
                <w:szCs w:val="20"/>
              </w:rPr>
              <w:t>0.1 – 0.7</w:t>
            </w:r>
          </w:p>
        </w:tc>
        <w:tc>
          <w:tcPr>
            <w:tcW w:w="0" w:type="auto"/>
            <w:shd w:val="clear" w:color="auto" w:fill="FFFFFF" w:themeFill="background1"/>
            <w:tcMar>
              <w:left w:w="108" w:type="dxa"/>
              <w:right w:w="108" w:type="dxa"/>
            </w:tcMar>
          </w:tcPr>
          <w:p w14:paraId="232684CE" w14:textId="598289FE" w:rsidR="002C211B" w:rsidRPr="00325B0D" w:rsidRDefault="002C211B"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17C19C9B" w14:textId="7FF4BA46" w:rsidR="002C211B" w:rsidRPr="00325B0D" w:rsidRDefault="002C211B" w:rsidP="006A15B1">
            <w:pPr>
              <w:pStyle w:val="TableText0"/>
              <w:rPr>
                <w:rFonts w:cstheme="minorHAnsi"/>
                <w:sz w:val="20"/>
                <w:szCs w:val="20"/>
              </w:rPr>
            </w:pPr>
            <w:r w:rsidRPr="00325B0D">
              <w:rPr>
                <w:rFonts w:cs="Arial"/>
                <w:sz w:val="20"/>
                <w:szCs w:val="20"/>
              </w:rPr>
              <w:t>Blaine et al. 2014</w:t>
            </w:r>
          </w:p>
        </w:tc>
        <w:tc>
          <w:tcPr>
            <w:tcW w:w="0" w:type="auto"/>
            <w:shd w:val="clear" w:color="auto" w:fill="FFFFFF" w:themeFill="background1"/>
          </w:tcPr>
          <w:p w14:paraId="79A1A642" w14:textId="1F8E2C63" w:rsidR="002C211B" w:rsidRPr="00325B0D" w:rsidRDefault="002C211B" w:rsidP="006A15B1">
            <w:pPr>
              <w:pStyle w:val="TableText0"/>
              <w:rPr>
                <w:rFonts w:cstheme="minorHAnsi"/>
                <w:sz w:val="20"/>
                <w:szCs w:val="20"/>
              </w:rPr>
            </w:pPr>
            <w:r w:rsidRPr="00325B0D">
              <w:rPr>
                <w:rFonts w:cs="Arial"/>
                <w:sz w:val="20"/>
                <w:szCs w:val="20"/>
              </w:rPr>
              <w:t>86</w:t>
            </w:r>
          </w:p>
        </w:tc>
        <w:tc>
          <w:tcPr>
            <w:tcW w:w="1326" w:type="dxa"/>
            <w:shd w:val="clear" w:color="auto" w:fill="FFFFFF" w:themeFill="background1"/>
          </w:tcPr>
          <w:p w14:paraId="7A399D2A" w14:textId="66C76C35" w:rsidR="002C211B" w:rsidRPr="00325B0D" w:rsidRDefault="002C211B" w:rsidP="006A15B1">
            <w:pPr>
              <w:pStyle w:val="TableText0"/>
              <w:rPr>
                <w:rFonts w:cs="Arial"/>
                <w:sz w:val="20"/>
                <w:szCs w:val="20"/>
              </w:rPr>
            </w:pPr>
            <w:r>
              <w:rPr>
                <w:rFonts w:cs="Arial"/>
                <w:sz w:val="20"/>
                <w:szCs w:val="20"/>
              </w:rPr>
              <w:t>0.10</w:t>
            </w:r>
          </w:p>
        </w:tc>
      </w:tr>
      <w:tr w:rsidR="006E6194" w14:paraId="55BF15C8" w14:textId="0F4F46E7" w:rsidTr="009B3E18">
        <w:tc>
          <w:tcPr>
            <w:tcW w:w="0" w:type="auto"/>
            <w:vMerge/>
          </w:tcPr>
          <w:p w14:paraId="2559A969" w14:textId="77777777" w:rsidR="002C211B" w:rsidRPr="00DA71B8" w:rsidRDefault="002C211B" w:rsidP="006A15B1">
            <w:pPr>
              <w:pStyle w:val="TableText0"/>
            </w:pPr>
          </w:p>
        </w:tc>
        <w:tc>
          <w:tcPr>
            <w:tcW w:w="0" w:type="auto"/>
            <w:shd w:val="clear" w:color="auto" w:fill="FFFFFF" w:themeFill="background1"/>
            <w:tcMar>
              <w:left w:w="108" w:type="dxa"/>
              <w:right w:w="108" w:type="dxa"/>
            </w:tcMar>
          </w:tcPr>
          <w:p w14:paraId="7BC4DB5C" w14:textId="58D9156D" w:rsidR="002C211B" w:rsidRPr="00325B0D" w:rsidRDefault="002C211B" w:rsidP="006A15B1">
            <w:pPr>
              <w:pStyle w:val="TableText0"/>
              <w:rPr>
                <w:rFonts w:cstheme="minorHAnsi"/>
                <w:sz w:val="20"/>
                <w:szCs w:val="20"/>
              </w:rPr>
            </w:pPr>
            <w:r w:rsidRPr="00325B0D">
              <w:rPr>
                <w:rFonts w:cs="Arial"/>
                <w:sz w:val="20"/>
                <w:szCs w:val="20"/>
              </w:rPr>
              <w:t>Lettuce</w:t>
            </w:r>
          </w:p>
        </w:tc>
        <w:tc>
          <w:tcPr>
            <w:tcW w:w="0" w:type="auto"/>
            <w:shd w:val="clear" w:color="auto" w:fill="FFFFFF" w:themeFill="background1"/>
            <w:tcMar>
              <w:left w:w="108" w:type="dxa"/>
              <w:right w:w="108" w:type="dxa"/>
            </w:tcMar>
          </w:tcPr>
          <w:p w14:paraId="4A205DCB" w14:textId="1B17DD41" w:rsidR="002C211B" w:rsidRPr="00325B0D" w:rsidRDefault="002C211B" w:rsidP="006A15B1">
            <w:pPr>
              <w:pStyle w:val="TableText0"/>
              <w:rPr>
                <w:rFonts w:cstheme="minorHAnsi"/>
                <w:sz w:val="20"/>
                <w:szCs w:val="20"/>
              </w:rPr>
            </w:pPr>
            <w:r w:rsidRPr="00325B0D">
              <w:rPr>
                <w:rFonts w:cs="Arial"/>
                <w:sz w:val="20"/>
                <w:szCs w:val="20"/>
              </w:rPr>
              <w:t>1.3, 2.5</w:t>
            </w:r>
          </w:p>
        </w:tc>
        <w:tc>
          <w:tcPr>
            <w:tcW w:w="0" w:type="auto"/>
            <w:shd w:val="clear" w:color="auto" w:fill="FFFFFF" w:themeFill="background1"/>
            <w:tcMar>
              <w:left w:w="108" w:type="dxa"/>
              <w:right w:w="108" w:type="dxa"/>
            </w:tcMar>
          </w:tcPr>
          <w:p w14:paraId="56BB1ADF" w14:textId="7D8FB43E" w:rsidR="002C211B" w:rsidRPr="00325B0D" w:rsidRDefault="002C211B"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6302CCF4" w14:textId="0D02A01E" w:rsidR="002C211B" w:rsidRPr="00325B0D" w:rsidRDefault="002C211B" w:rsidP="006A15B1">
            <w:pPr>
              <w:pStyle w:val="TableText0"/>
              <w:rPr>
                <w:rFonts w:cstheme="minorHAnsi"/>
                <w:sz w:val="20"/>
                <w:szCs w:val="20"/>
              </w:rPr>
            </w:pPr>
            <w:r w:rsidRPr="00325B0D">
              <w:rPr>
                <w:rFonts w:cs="Arial"/>
                <w:sz w:val="20"/>
                <w:szCs w:val="20"/>
              </w:rPr>
              <w:t>Blaine et al. 2013</w:t>
            </w:r>
          </w:p>
        </w:tc>
        <w:tc>
          <w:tcPr>
            <w:tcW w:w="0" w:type="auto"/>
            <w:shd w:val="clear" w:color="auto" w:fill="FFFFFF" w:themeFill="background1"/>
          </w:tcPr>
          <w:p w14:paraId="7D7D94B6" w14:textId="38C56076" w:rsidR="002C211B" w:rsidRPr="00325B0D" w:rsidRDefault="002C211B" w:rsidP="006A15B1">
            <w:pPr>
              <w:pStyle w:val="TableText0"/>
              <w:rPr>
                <w:rFonts w:cstheme="minorHAnsi"/>
                <w:sz w:val="20"/>
                <w:szCs w:val="20"/>
              </w:rPr>
            </w:pPr>
            <w:r w:rsidRPr="00325B0D">
              <w:rPr>
                <w:rFonts w:cs="Arial"/>
                <w:sz w:val="20"/>
                <w:szCs w:val="20"/>
              </w:rPr>
              <w:t>96</w:t>
            </w:r>
          </w:p>
        </w:tc>
        <w:tc>
          <w:tcPr>
            <w:tcW w:w="1326" w:type="dxa"/>
            <w:shd w:val="clear" w:color="auto" w:fill="FFFFFF" w:themeFill="background1"/>
          </w:tcPr>
          <w:p w14:paraId="6F5FBC18" w14:textId="57DDE73C" w:rsidR="002C211B" w:rsidRPr="00325B0D" w:rsidRDefault="002C211B" w:rsidP="006A15B1">
            <w:pPr>
              <w:pStyle w:val="TableText0"/>
              <w:rPr>
                <w:rFonts w:cs="Arial"/>
                <w:sz w:val="20"/>
                <w:szCs w:val="20"/>
              </w:rPr>
            </w:pPr>
            <w:r>
              <w:rPr>
                <w:rFonts w:cs="Arial"/>
                <w:sz w:val="20"/>
                <w:szCs w:val="20"/>
              </w:rPr>
              <w:t>0.10</w:t>
            </w:r>
          </w:p>
        </w:tc>
      </w:tr>
      <w:tr w:rsidR="006E6194" w14:paraId="70881622" w14:textId="46BFDD0E" w:rsidTr="009B3E18">
        <w:tc>
          <w:tcPr>
            <w:tcW w:w="0" w:type="auto"/>
            <w:vMerge/>
          </w:tcPr>
          <w:p w14:paraId="7E29AD5D" w14:textId="77777777" w:rsidR="002C211B" w:rsidRPr="00DA71B8" w:rsidRDefault="002C211B" w:rsidP="006A15B1">
            <w:pPr>
              <w:pStyle w:val="TableText0"/>
            </w:pPr>
          </w:p>
        </w:tc>
        <w:tc>
          <w:tcPr>
            <w:tcW w:w="0" w:type="auto"/>
            <w:shd w:val="clear" w:color="auto" w:fill="FFFFFF" w:themeFill="background1"/>
            <w:tcMar>
              <w:left w:w="108" w:type="dxa"/>
              <w:right w:w="108" w:type="dxa"/>
            </w:tcMar>
          </w:tcPr>
          <w:p w14:paraId="1FECC911" w14:textId="0712663D" w:rsidR="002C211B" w:rsidRPr="00325B0D" w:rsidRDefault="002C211B" w:rsidP="006A15B1">
            <w:pPr>
              <w:pStyle w:val="TableText0"/>
              <w:rPr>
                <w:rFonts w:cstheme="minorHAnsi"/>
                <w:sz w:val="20"/>
                <w:szCs w:val="20"/>
              </w:rPr>
            </w:pPr>
            <w:r w:rsidRPr="00325B0D">
              <w:rPr>
                <w:rFonts w:cs="Arial"/>
                <w:sz w:val="20"/>
                <w:szCs w:val="20"/>
              </w:rPr>
              <w:t>Lettuce</w:t>
            </w:r>
          </w:p>
        </w:tc>
        <w:tc>
          <w:tcPr>
            <w:tcW w:w="0" w:type="auto"/>
            <w:shd w:val="clear" w:color="auto" w:fill="FFFFFF" w:themeFill="background1"/>
            <w:tcMar>
              <w:left w:w="108" w:type="dxa"/>
              <w:right w:w="108" w:type="dxa"/>
            </w:tcMar>
          </w:tcPr>
          <w:p w14:paraId="59EA4374" w14:textId="67E8DDB1" w:rsidR="002C211B" w:rsidRPr="00325B0D" w:rsidRDefault="002C211B" w:rsidP="006A15B1">
            <w:pPr>
              <w:pStyle w:val="TableText0"/>
              <w:rPr>
                <w:rFonts w:cstheme="minorHAnsi"/>
                <w:sz w:val="20"/>
                <w:szCs w:val="20"/>
              </w:rPr>
            </w:pPr>
            <w:r w:rsidRPr="00325B0D">
              <w:rPr>
                <w:rFonts w:cs="Arial"/>
                <w:sz w:val="20"/>
                <w:szCs w:val="20"/>
              </w:rPr>
              <w:t>1.6 – 2.1</w:t>
            </w:r>
          </w:p>
        </w:tc>
        <w:tc>
          <w:tcPr>
            <w:tcW w:w="0" w:type="auto"/>
            <w:shd w:val="clear" w:color="auto" w:fill="FFFFFF" w:themeFill="background1"/>
            <w:tcMar>
              <w:left w:w="108" w:type="dxa"/>
              <w:right w:w="108" w:type="dxa"/>
            </w:tcMar>
          </w:tcPr>
          <w:p w14:paraId="0B2A8E6A" w14:textId="6B8DBD98" w:rsidR="002C211B" w:rsidRPr="00325B0D" w:rsidRDefault="002C211B"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7AA620BE" w14:textId="37AF5872" w:rsidR="002C211B" w:rsidRPr="00325B0D" w:rsidRDefault="002C211B" w:rsidP="006A15B1">
            <w:pPr>
              <w:pStyle w:val="TableText0"/>
              <w:rPr>
                <w:rFonts w:cstheme="minorHAnsi"/>
                <w:sz w:val="20"/>
                <w:szCs w:val="20"/>
              </w:rPr>
            </w:pPr>
            <w:proofErr w:type="spellStart"/>
            <w:r w:rsidRPr="00325B0D">
              <w:rPr>
                <w:rFonts w:cs="Arial"/>
                <w:sz w:val="20"/>
                <w:szCs w:val="20"/>
              </w:rPr>
              <w:t>Bizkarguenaga</w:t>
            </w:r>
            <w:proofErr w:type="spellEnd"/>
            <w:r w:rsidRPr="00325B0D">
              <w:rPr>
                <w:rFonts w:cs="Arial"/>
                <w:sz w:val="20"/>
                <w:szCs w:val="20"/>
              </w:rPr>
              <w:t xml:space="preserve"> et al. 2016</w:t>
            </w:r>
          </w:p>
        </w:tc>
        <w:tc>
          <w:tcPr>
            <w:tcW w:w="0" w:type="auto"/>
            <w:shd w:val="clear" w:color="auto" w:fill="FFFFFF" w:themeFill="background1"/>
          </w:tcPr>
          <w:p w14:paraId="5243079E" w14:textId="5CE0DA5D" w:rsidR="002C211B" w:rsidRPr="00325B0D" w:rsidRDefault="002C211B" w:rsidP="006A15B1">
            <w:pPr>
              <w:pStyle w:val="TableText0"/>
              <w:rPr>
                <w:rFonts w:cstheme="minorHAnsi"/>
                <w:sz w:val="20"/>
                <w:szCs w:val="20"/>
              </w:rPr>
            </w:pPr>
            <w:r w:rsidRPr="00325B0D">
              <w:rPr>
                <w:rFonts w:cs="Arial"/>
                <w:sz w:val="20"/>
                <w:szCs w:val="20"/>
              </w:rPr>
              <w:t>96</w:t>
            </w:r>
          </w:p>
        </w:tc>
        <w:tc>
          <w:tcPr>
            <w:tcW w:w="1326" w:type="dxa"/>
            <w:shd w:val="clear" w:color="auto" w:fill="FFFFFF" w:themeFill="background1"/>
          </w:tcPr>
          <w:p w14:paraId="49903123" w14:textId="286D4639" w:rsidR="002C211B" w:rsidRPr="00325B0D" w:rsidRDefault="002C211B" w:rsidP="006A15B1">
            <w:pPr>
              <w:pStyle w:val="TableText0"/>
              <w:rPr>
                <w:rFonts w:cs="Arial"/>
                <w:sz w:val="20"/>
                <w:szCs w:val="20"/>
              </w:rPr>
            </w:pPr>
            <w:r>
              <w:rPr>
                <w:rFonts w:cs="Arial"/>
                <w:sz w:val="20"/>
                <w:szCs w:val="20"/>
              </w:rPr>
              <w:t>0.08</w:t>
            </w:r>
          </w:p>
        </w:tc>
      </w:tr>
      <w:tr w:rsidR="006E6194" w14:paraId="5103F169" w14:textId="3BB9D765" w:rsidTr="009B3E18">
        <w:tc>
          <w:tcPr>
            <w:tcW w:w="0" w:type="auto"/>
            <w:vMerge/>
          </w:tcPr>
          <w:p w14:paraId="46362539" w14:textId="77777777" w:rsidR="002C211B" w:rsidRPr="00DA71B8" w:rsidRDefault="002C211B" w:rsidP="006A15B1">
            <w:pPr>
              <w:pStyle w:val="TableText0"/>
            </w:pPr>
          </w:p>
        </w:tc>
        <w:tc>
          <w:tcPr>
            <w:tcW w:w="0" w:type="auto"/>
            <w:shd w:val="clear" w:color="auto" w:fill="FFFFFF" w:themeFill="background1"/>
            <w:tcMar>
              <w:left w:w="108" w:type="dxa"/>
              <w:right w:w="108" w:type="dxa"/>
            </w:tcMar>
          </w:tcPr>
          <w:p w14:paraId="263EE296" w14:textId="39261088" w:rsidR="002C211B" w:rsidRPr="00325B0D" w:rsidRDefault="002C211B" w:rsidP="006A15B1">
            <w:pPr>
              <w:pStyle w:val="TableText0"/>
              <w:rPr>
                <w:rFonts w:cstheme="minorHAnsi"/>
                <w:sz w:val="20"/>
                <w:szCs w:val="20"/>
              </w:rPr>
            </w:pPr>
            <w:r w:rsidRPr="00325B0D">
              <w:rPr>
                <w:rFonts w:cs="Arial"/>
                <w:sz w:val="20"/>
                <w:szCs w:val="20"/>
              </w:rPr>
              <w:t>Lettuce</w:t>
            </w:r>
          </w:p>
        </w:tc>
        <w:tc>
          <w:tcPr>
            <w:tcW w:w="0" w:type="auto"/>
            <w:shd w:val="clear" w:color="auto" w:fill="FFFFFF" w:themeFill="background1"/>
            <w:tcMar>
              <w:left w:w="108" w:type="dxa"/>
              <w:right w:w="108" w:type="dxa"/>
            </w:tcMar>
          </w:tcPr>
          <w:p w14:paraId="55875707" w14:textId="0454F6B8" w:rsidR="002C211B" w:rsidRPr="00325B0D" w:rsidRDefault="002C211B" w:rsidP="006A15B1">
            <w:pPr>
              <w:pStyle w:val="TableText0"/>
              <w:rPr>
                <w:rFonts w:cstheme="minorHAnsi"/>
                <w:sz w:val="20"/>
                <w:szCs w:val="20"/>
              </w:rPr>
            </w:pPr>
            <w:r w:rsidRPr="00325B0D">
              <w:rPr>
                <w:rFonts w:cs="Arial"/>
                <w:sz w:val="20"/>
                <w:szCs w:val="20"/>
              </w:rPr>
              <w:t>1.2</w:t>
            </w:r>
          </w:p>
        </w:tc>
        <w:tc>
          <w:tcPr>
            <w:tcW w:w="0" w:type="auto"/>
            <w:shd w:val="clear" w:color="auto" w:fill="FFFFFF" w:themeFill="background1"/>
            <w:tcMar>
              <w:left w:w="108" w:type="dxa"/>
              <w:right w:w="108" w:type="dxa"/>
            </w:tcMar>
          </w:tcPr>
          <w:p w14:paraId="44228CC5" w14:textId="4A89A4FE" w:rsidR="002C211B" w:rsidRPr="00325B0D" w:rsidRDefault="002C211B"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7C7F4A9D" w14:textId="1D8B8E4D" w:rsidR="002C211B" w:rsidRPr="00325B0D" w:rsidRDefault="002C211B" w:rsidP="006A15B1">
            <w:pPr>
              <w:pStyle w:val="TableText0"/>
              <w:rPr>
                <w:rFonts w:cstheme="minorHAnsi"/>
                <w:sz w:val="20"/>
                <w:szCs w:val="20"/>
              </w:rPr>
            </w:pPr>
            <w:r w:rsidRPr="00325B0D">
              <w:rPr>
                <w:rFonts w:cs="Arial"/>
                <w:sz w:val="20"/>
                <w:szCs w:val="20"/>
              </w:rPr>
              <w:t>Wen et al. 2016</w:t>
            </w:r>
          </w:p>
        </w:tc>
        <w:tc>
          <w:tcPr>
            <w:tcW w:w="0" w:type="auto"/>
            <w:shd w:val="clear" w:color="auto" w:fill="FFFFFF" w:themeFill="background1"/>
          </w:tcPr>
          <w:p w14:paraId="3A5E5C33" w14:textId="0DDED447" w:rsidR="002C211B" w:rsidRPr="00325B0D" w:rsidRDefault="002C211B" w:rsidP="006A15B1">
            <w:pPr>
              <w:pStyle w:val="TableText0"/>
              <w:rPr>
                <w:rFonts w:cstheme="minorHAnsi"/>
                <w:sz w:val="20"/>
                <w:szCs w:val="20"/>
              </w:rPr>
            </w:pPr>
            <w:r w:rsidRPr="00325B0D">
              <w:rPr>
                <w:rFonts w:cs="Arial"/>
                <w:sz w:val="20"/>
                <w:szCs w:val="20"/>
              </w:rPr>
              <w:t>96</w:t>
            </w:r>
          </w:p>
        </w:tc>
        <w:tc>
          <w:tcPr>
            <w:tcW w:w="1326" w:type="dxa"/>
            <w:shd w:val="clear" w:color="auto" w:fill="FFFFFF" w:themeFill="background1"/>
          </w:tcPr>
          <w:p w14:paraId="638902B3" w14:textId="4F18E8FA" w:rsidR="002C211B" w:rsidRPr="00325B0D" w:rsidRDefault="002C211B" w:rsidP="006A15B1">
            <w:pPr>
              <w:pStyle w:val="TableText0"/>
              <w:rPr>
                <w:rFonts w:cs="Arial"/>
                <w:sz w:val="20"/>
                <w:szCs w:val="20"/>
              </w:rPr>
            </w:pPr>
            <w:r>
              <w:rPr>
                <w:rFonts w:cs="Arial"/>
                <w:sz w:val="20"/>
                <w:szCs w:val="20"/>
              </w:rPr>
              <w:t>0.05</w:t>
            </w:r>
          </w:p>
        </w:tc>
      </w:tr>
      <w:tr w:rsidR="006E6194" w14:paraId="6437DB99" w14:textId="77777777" w:rsidTr="009B3E18">
        <w:tc>
          <w:tcPr>
            <w:tcW w:w="0" w:type="auto"/>
            <w:vMerge/>
          </w:tcPr>
          <w:p w14:paraId="21A94204" w14:textId="77777777" w:rsidR="002C211B" w:rsidRPr="00DA71B8" w:rsidRDefault="002C211B" w:rsidP="006A15B1">
            <w:pPr>
              <w:pStyle w:val="TableText0"/>
            </w:pPr>
          </w:p>
        </w:tc>
        <w:tc>
          <w:tcPr>
            <w:tcW w:w="0" w:type="auto"/>
            <w:shd w:val="clear" w:color="auto" w:fill="FFFFFF" w:themeFill="background1"/>
            <w:tcMar>
              <w:left w:w="108" w:type="dxa"/>
              <w:right w:w="108" w:type="dxa"/>
            </w:tcMar>
          </w:tcPr>
          <w:p w14:paraId="75566499" w14:textId="5A5ACE71" w:rsidR="002C211B" w:rsidRPr="00325B0D" w:rsidRDefault="002C211B" w:rsidP="006A15B1">
            <w:pPr>
              <w:pStyle w:val="TableText0"/>
              <w:rPr>
                <w:rFonts w:cs="Arial"/>
                <w:sz w:val="20"/>
                <w:szCs w:val="20"/>
              </w:rPr>
            </w:pPr>
            <w:r>
              <w:rPr>
                <w:rFonts w:cs="Arial"/>
                <w:sz w:val="20"/>
                <w:szCs w:val="20"/>
              </w:rPr>
              <w:t>Lettuce</w:t>
            </w:r>
            <w:r>
              <w:rPr>
                <w:b/>
                <w:bCs/>
                <w:sz w:val="20"/>
                <w:szCs w:val="20"/>
              </w:rPr>
              <w:t xml:space="preserve"> </w:t>
            </w:r>
            <w:r w:rsidRPr="00FE1CA5">
              <w:rPr>
                <w:b/>
                <w:bCs/>
                <w:sz w:val="20"/>
                <w:szCs w:val="20"/>
                <w:vertAlign w:val="superscript"/>
              </w:rPr>
              <w:t>d</w:t>
            </w:r>
          </w:p>
        </w:tc>
        <w:tc>
          <w:tcPr>
            <w:tcW w:w="0" w:type="auto"/>
            <w:shd w:val="clear" w:color="auto" w:fill="FFFFFF" w:themeFill="background1"/>
            <w:tcMar>
              <w:left w:w="108" w:type="dxa"/>
              <w:right w:w="108" w:type="dxa"/>
            </w:tcMar>
          </w:tcPr>
          <w:p w14:paraId="0E5E36EC" w14:textId="1A8EE862" w:rsidR="002C211B" w:rsidRPr="00325B0D" w:rsidRDefault="002C211B" w:rsidP="006A15B1">
            <w:pPr>
              <w:pStyle w:val="TableText0"/>
              <w:rPr>
                <w:rFonts w:cs="Arial"/>
                <w:sz w:val="20"/>
                <w:szCs w:val="20"/>
              </w:rPr>
            </w:pPr>
            <w:r w:rsidRPr="00325B0D">
              <w:rPr>
                <w:rFonts w:cs="Arial"/>
                <w:sz w:val="20"/>
                <w:szCs w:val="20"/>
              </w:rPr>
              <w:t>0.71</w:t>
            </w:r>
          </w:p>
        </w:tc>
        <w:tc>
          <w:tcPr>
            <w:tcW w:w="0" w:type="auto"/>
            <w:shd w:val="clear" w:color="auto" w:fill="FFFFFF" w:themeFill="background1"/>
            <w:tcMar>
              <w:left w:w="108" w:type="dxa"/>
              <w:right w:w="108" w:type="dxa"/>
            </w:tcMar>
          </w:tcPr>
          <w:p w14:paraId="4F6DC098" w14:textId="3F5E49F0" w:rsidR="002C211B" w:rsidRPr="00325B0D" w:rsidRDefault="002C211B" w:rsidP="006A15B1">
            <w:pPr>
              <w:pStyle w:val="TableText0"/>
              <w:rPr>
                <w:rFonts w:cs="Arial"/>
                <w:sz w:val="20"/>
                <w:szCs w:val="20"/>
              </w:rPr>
            </w:pPr>
            <w:r>
              <w:rPr>
                <w:rFonts w:cs="Arial"/>
                <w:sz w:val="20"/>
                <w:szCs w:val="20"/>
              </w:rPr>
              <w:t>DW</w:t>
            </w:r>
            <w:r w:rsidRPr="00325B0D">
              <w:rPr>
                <w:rFonts w:cs="Arial"/>
                <w:sz w:val="20"/>
                <w:szCs w:val="20"/>
              </w:rPr>
              <w:t xml:space="preserve"> </w:t>
            </w:r>
          </w:p>
        </w:tc>
        <w:tc>
          <w:tcPr>
            <w:tcW w:w="0" w:type="auto"/>
            <w:shd w:val="clear" w:color="auto" w:fill="FFFFFF" w:themeFill="background1"/>
            <w:tcMar>
              <w:left w:w="108" w:type="dxa"/>
              <w:right w:w="108" w:type="dxa"/>
            </w:tcMar>
          </w:tcPr>
          <w:p w14:paraId="40825E49" w14:textId="51D6F737" w:rsidR="002C211B" w:rsidRPr="00325B0D" w:rsidRDefault="002C211B" w:rsidP="006A15B1">
            <w:pPr>
              <w:pStyle w:val="TableText0"/>
              <w:rPr>
                <w:rFonts w:cs="Arial"/>
                <w:sz w:val="20"/>
                <w:szCs w:val="20"/>
              </w:rPr>
            </w:pPr>
            <w:proofErr w:type="spellStart"/>
            <w:r w:rsidRPr="00325B0D">
              <w:rPr>
                <w:rFonts w:cs="Arial"/>
                <w:sz w:val="20"/>
                <w:szCs w:val="20"/>
              </w:rPr>
              <w:t>Felizeter</w:t>
            </w:r>
            <w:proofErr w:type="spellEnd"/>
            <w:r w:rsidRPr="00325B0D">
              <w:rPr>
                <w:rFonts w:cs="Arial"/>
                <w:sz w:val="20"/>
                <w:szCs w:val="20"/>
              </w:rPr>
              <w:t xml:space="preserve"> et al. 2020</w:t>
            </w:r>
          </w:p>
        </w:tc>
        <w:tc>
          <w:tcPr>
            <w:tcW w:w="0" w:type="auto"/>
            <w:shd w:val="clear" w:color="auto" w:fill="FFFFFF" w:themeFill="background1"/>
          </w:tcPr>
          <w:p w14:paraId="6467F2E7" w14:textId="54F1F679" w:rsidR="002C211B" w:rsidRPr="00325B0D" w:rsidRDefault="002C211B" w:rsidP="006A15B1">
            <w:pPr>
              <w:pStyle w:val="TableText0"/>
              <w:rPr>
                <w:rFonts w:cs="Arial"/>
                <w:sz w:val="20"/>
                <w:szCs w:val="20"/>
              </w:rPr>
            </w:pPr>
            <w:r>
              <w:rPr>
                <w:rFonts w:cs="Arial"/>
                <w:sz w:val="20"/>
                <w:szCs w:val="20"/>
              </w:rPr>
              <w:t>96</w:t>
            </w:r>
          </w:p>
        </w:tc>
        <w:tc>
          <w:tcPr>
            <w:tcW w:w="1326" w:type="dxa"/>
            <w:shd w:val="clear" w:color="auto" w:fill="FFFFFF" w:themeFill="background1"/>
          </w:tcPr>
          <w:p w14:paraId="02DE86B3" w14:textId="64DEF029" w:rsidR="002C211B" w:rsidRPr="00325B0D" w:rsidRDefault="002C211B" w:rsidP="006A15B1">
            <w:pPr>
              <w:pStyle w:val="TableText0"/>
              <w:rPr>
                <w:rFonts w:cs="Arial"/>
                <w:sz w:val="20"/>
                <w:szCs w:val="20"/>
              </w:rPr>
            </w:pPr>
            <w:r>
              <w:rPr>
                <w:rFonts w:cs="Arial"/>
                <w:sz w:val="20"/>
                <w:szCs w:val="20"/>
              </w:rPr>
              <w:t>0.03</w:t>
            </w:r>
          </w:p>
        </w:tc>
      </w:tr>
      <w:tr w:rsidR="006E6194" w14:paraId="5B3EEE18" w14:textId="1A397209" w:rsidTr="009B3E18">
        <w:tc>
          <w:tcPr>
            <w:tcW w:w="0" w:type="auto"/>
            <w:vMerge w:val="restart"/>
          </w:tcPr>
          <w:p w14:paraId="1BC335E8" w14:textId="77777777" w:rsidR="006A15B1" w:rsidRPr="00DA71B8" w:rsidRDefault="006A15B1" w:rsidP="006A15B1">
            <w:pPr>
              <w:pStyle w:val="TableText0"/>
            </w:pPr>
            <w:r>
              <w:t>Root vegetable</w:t>
            </w:r>
          </w:p>
        </w:tc>
        <w:tc>
          <w:tcPr>
            <w:tcW w:w="0" w:type="auto"/>
            <w:shd w:val="clear" w:color="auto" w:fill="FFFFFF" w:themeFill="background1"/>
            <w:tcMar>
              <w:left w:w="108" w:type="dxa"/>
              <w:right w:w="108" w:type="dxa"/>
            </w:tcMar>
          </w:tcPr>
          <w:p w14:paraId="2AF7B649" w14:textId="00C76EC4" w:rsidR="006A15B1" w:rsidRPr="00C96EE9" w:rsidRDefault="006A15B1" w:rsidP="006A15B1">
            <w:pPr>
              <w:pStyle w:val="TableText0"/>
              <w:rPr>
                <w:b/>
                <w:bCs/>
              </w:rPr>
            </w:pPr>
            <w:r w:rsidRPr="00C96EE9">
              <w:rPr>
                <w:rFonts w:cs="Arial"/>
                <w:b/>
                <w:bCs/>
                <w:sz w:val="20"/>
                <w:szCs w:val="20"/>
              </w:rPr>
              <w:t xml:space="preserve">Radish </w:t>
            </w:r>
            <w:r w:rsidR="00FE1CA5" w:rsidRPr="00C535CF">
              <w:rPr>
                <w:b/>
                <w:bCs/>
                <w:sz w:val="20"/>
                <w:szCs w:val="20"/>
                <w:vertAlign w:val="superscript"/>
              </w:rPr>
              <w:t>d</w:t>
            </w:r>
          </w:p>
        </w:tc>
        <w:tc>
          <w:tcPr>
            <w:tcW w:w="0" w:type="auto"/>
            <w:shd w:val="clear" w:color="auto" w:fill="FFFFFF" w:themeFill="background1"/>
            <w:tcMar>
              <w:left w:w="108" w:type="dxa"/>
              <w:right w:w="108" w:type="dxa"/>
            </w:tcMar>
          </w:tcPr>
          <w:p w14:paraId="7C18E06A" w14:textId="2CB824A7" w:rsidR="006A15B1" w:rsidRPr="00C96EE9" w:rsidRDefault="006A15B1" w:rsidP="006A15B1">
            <w:pPr>
              <w:pStyle w:val="TableText0"/>
              <w:rPr>
                <w:b/>
                <w:bCs/>
              </w:rPr>
            </w:pPr>
            <w:r w:rsidRPr="00C96EE9">
              <w:rPr>
                <w:rFonts w:cs="Arial"/>
                <w:b/>
                <w:bCs/>
                <w:sz w:val="20"/>
                <w:szCs w:val="20"/>
              </w:rPr>
              <w:t>18</w:t>
            </w:r>
          </w:p>
        </w:tc>
        <w:tc>
          <w:tcPr>
            <w:tcW w:w="0" w:type="auto"/>
            <w:shd w:val="clear" w:color="auto" w:fill="FFFFFF" w:themeFill="background1"/>
            <w:tcMar>
              <w:left w:w="108" w:type="dxa"/>
              <w:right w:w="108" w:type="dxa"/>
            </w:tcMar>
          </w:tcPr>
          <w:p w14:paraId="616630CD" w14:textId="02C68B57" w:rsidR="006A15B1" w:rsidRPr="00C96EE9" w:rsidRDefault="006A15B1" w:rsidP="006A15B1">
            <w:pPr>
              <w:pStyle w:val="TableText0"/>
              <w:rPr>
                <w:b/>
                <w:bCs/>
              </w:rPr>
            </w:pPr>
            <w:r w:rsidRPr="00C96EE9">
              <w:rPr>
                <w:rFonts w:cs="Arial"/>
                <w:b/>
                <w:bCs/>
                <w:sz w:val="20"/>
                <w:szCs w:val="20"/>
              </w:rPr>
              <w:t>DW</w:t>
            </w:r>
          </w:p>
        </w:tc>
        <w:tc>
          <w:tcPr>
            <w:tcW w:w="0" w:type="auto"/>
            <w:shd w:val="clear" w:color="auto" w:fill="FFFFFF" w:themeFill="background1"/>
            <w:tcMar>
              <w:left w:w="108" w:type="dxa"/>
              <w:right w:w="108" w:type="dxa"/>
            </w:tcMar>
          </w:tcPr>
          <w:p w14:paraId="286B10B3" w14:textId="3F190ADC" w:rsidR="006A15B1" w:rsidRPr="00C96EE9" w:rsidRDefault="006A15B1" w:rsidP="006A15B1">
            <w:pPr>
              <w:pStyle w:val="TableText0"/>
              <w:rPr>
                <w:b/>
                <w:bCs/>
              </w:rPr>
            </w:pPr>
            <w:proofErr w:type="spellStart"/>
            <w:r w:rsidRPr="00C96EE9">
              <w:rPr>
                <w:rFonts w:cs="Arial"/>
                <w:b/>
                <w:bCs/>
                <w:sz w:val="20"/>
                <w:szCs w:val="20"/>
              </w:rPr>
              <w:t>Lasee</w:t>
            </w:r>
            <w:proofErr w:type="spellEnd"/>
            <w:r w:rsidRPr="00C96EE9">
              <w:rPr>
                <w:rFonts w:cs="Arial"/>
                <w:b/>
                <w:bCs/>
                <w:sz w:val="20"/>
                <w:szCs w:val="20"/>
              </w:rPr>
              <w:t xml:space="preserve"> et al. 2019</w:t>
            </w:r>
          </w:p>
        </w:tc>
        <w:tc>
          <w:tcPr>
            <w:tcW w:w="0" w:type="auto"/>
            <w:shd w:val="clear" w:color="auto" w:fill="FFFFFF" w:themeFill="background1"/>
          </w:tcPr>
          <w:p w14:paraId="2E6C6FE8" w14:textId="46837EA1" w:rsidR="006A15B1" w:rsidRPr="00C96EE9" w:rsidRDefault="006A15B1" w:rsidP="006A15B1">
            <w:pPr>
              <w:pStyle w:val="TableText0"/>
              <w:rPr>
                <w:rFonts w:cstheme="minorHAnsi"/>
                <w:b/>
                <w:bCs/>
                <w:sz w:val="20"/>
                <w:szCs w:val="20"/>
              </w:rPr>
            </w:pPr>
            <w:r w:rsidRPr="00C96EE9">
              <w:rPr>
                <w:rFonts w:cs="Arial"/>
                <w:b/>
                <w:bCs/>
                <w:sz w:val="20"/>
                <w:szCs w:val="20"/>
              </w:rPr>
              <w:t>95</w:t>
            </w:r>
          </w:p>
        </w:tc>
        <w:tc>
          <w:tcPr>
            <w:tcW w:w="1326" w:type="dxa"/>
            <w:shd w:val="clear" w:color="auto" w:fill="FFFFFF" w:themeFill="background1"/>
          </w:tcPr>
          <w:p w14:paraId="28D8710D" w14:textId="36773A49" w:rsidR="006A15B1" w:rsidRPr="00C96EE9" w:rsidRDefault="00A91A00" w:rsidP="006A15B1">
            <w:pPr>
              <w:pStyle w:val="TableText0"/>
              <w:rPr>
                <w:rFonts w:cs="Arial"/>
                <w:b/>
                <w:bCs/>
                <w:sz w:val="20"/>
                <w:szCs w:val="20"/>
              </w:rPr>
            </w:pPr>
            <w:r>
              <w:rPr>
                <w:rFonts w:cs="Arial"/>
                <w:b/>
                <w:bCs/>
                <w:sz w:val="20"/>
                <w:szCs w:val="20"/>
              </w:rPr>
              <w:t>0.93</w:t>
            </w:r>
          </w:p>
        </w:tc>
      </w:tr>
      <w:tr w:rsidR="006E6194" w14:paraId="280C7FDF" w14:textId="1275D8E4" w:rsidTr="009B3E18">
        <w:tc>
          <w:tcPr>
            <w:tcW w:w="0" w:type="auto"/>
            <w:vMerge/>
          </w:tcPr>
          <w:p w14:paraId="1840E8DC"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0D32071B" w14:textId="69A89403" w:rsidR="006A15B1" w:rsidRDefault="006A15B1" w:rsidP="006A15B1">
            <w:pPr>
              <w:pStyle w:val="TableText0"/>
            </w:pPr>
            <w:r w:rsidRPr="00325B0D">
              <w:rPr>
                <w:rFonts w:cs="Arial"/>
                <w:sz w:val="20"/>
                <w:szCs w:val="20"/>
              </w:rPr>
              <w:t>Radish</w:t>
            </w:r>
          </w:p>
        </w:tc>
        <w:tc>
          <w:tcPr>
            <w:tcW w:w="0" w:type="auto"/>
            <w:shd w:val="clear" w:color="auto" w:fill="FFFFFF" w:themeFill="background1"/>
            <w:tcMar>
              <w:left w:w="108" w:type="dxa"/>
              <w:right w:w="108" w:type="dxa"/>
            </w:tcMar>
          </w:tcPr>
          <w:p w14:paraId="53475FB7" w14:textId="40407CDF" w:rsidR="006A15B1" w:rsidRDefault="006A15B1" w:rsidP="006A15B1">
            <w:pPr>
              <w:pStyle w:val="TableText0"/>
            </w:pPr>
            <w:r w:rsidRPr="00325B0D">
              <w:rPr>
                <w:rFonts w:cs="Arial"/>
                <w:sz w:val="20"/>
                <w:szCs w:val="20"/>
              </w:rPr>
              <w:t>3.0</w:t>
            </w:r>
          </w:p>
        </w:tc>
        <w:tc>
          <w:tcPr>
            <w:tcW w:w="0" w:type="auto"/>
            <w:shd w:val="clear" w:color="auto" w:fill="FFFFFF" w:themeFill="background1"/>
            <w:tcMar>
              <w:left w:w="108" w:type="dxa"/>
              <w:right w:w="108" w:type="dxa"/>
            </w:tcMar>
          </w:tcPr>
          <w:p w14:paraId="742FBF34" w14:textId="6D0D8F2D" w:rsidR="006A15B1" w:rsidRDefault="006A15B1" w:rsidP="006A15B1">
            <w:pPr>
              <w:pStyle w:val="TableText0"/>
            </w:pPr>
            <w:r w:rsidRPr="00325B0D">
              <w:rPr>
                <w:rFonts w:cs="Arial"/>
                <w:sz w:val="20"/>
                <w:szCs w:val="20"/>
              </w:rPr>
              <w:t>DW</w:t>
            </w:r>
          </w:p>
        </w:tc>
        <w:tc>
          <w:tcPr>
            <w:tcW w:w="0" w:type="auto"/>
            <w:shd w:val="clear" w:color="auto" w:fill="FFFFFF" w:themeFill="background1"/>
            <w:tcMar>
              <w:left w:w="108" w:type="dxa"/>
              <w:right w:w="108" w:type="dxa"/>
            </w:tcMar>
          </w:tcPr>
          <w:p w14:paraId="66C711EB" w14:textId="30393CBC" w:rsidR="006A15B1" w:rsidRDefault="006A15B1" w:rsidP="006A15B1">
            <w:pPr>
              <w:pStyle w:val="TableText0"/>
            </w:pPr>
            <w:r w:rsidRPr="00325B0D">
              <w:rPr>
                <w:rFonts w:cs="Arial"/>
                <w:sz w:val="20"/>
                <w:szCs w:val="20"/>
              </w:rPr>
              <w:t>Wen et al. 2016</w:t>
            </w:r>
          </w:p>
        </w:tc>
        <w:tc>
          <w:tcPr>
            <w:tcW w:w="0" w:type="auto"/>
            <w:shd w:val="clear" w:color="auto" w:fill="FFFFFF" w:themeFill="background1"/>
          </w:tcPr>
          <w:p w14:paraId="7E075117" w14:textId="71C5FE22" w:rsidR="006A15B1" w:rsidRPr="00325B0D" w:rsidRDefault="006A15B1" w:rsidP="006A15B1">
            <w:pPr>
              <w:pStyle w:val="TableText0"/>
              <w:rPr>
                <w:rFonts w:cstheme="minorHAnsi"/>
                <w:sz w:val="20"/>
                <w:szCs w:val="20"/>
              </w:rPr>
            </w:pPr>
            <w:r w:rsidRPr="00325B0D">
              <w:rPr>
                <w:rFonts w:cs="Arial"/>
                <w:sz w:val="20"/>
                <w:szCs w:val="20"/>
              </w:rPr>
              <w:t>95</w:t>
            </w:r>
          </w:p>
        </w:tc>
        <w:tc>
          <w:tcPr>
            <w:tcW w:w="1326" w:type="dxa"/>
            <w:shd w:val="clear" w:color="auto" w:fill="FFFFFF" w:themeFill="background1"/>
          </w:tcPr>
          <w:p w14:paraId="4E0E5C26" w14:textId="4515799E" w:rsidR="006A15B1" w:rsidRPr="00325B0D" w:rsidRDefault="00A91A00" w:rsidP="006A15B1">
            <w:pPr>
              <w:pStyle w:val="TableText0"/>
              <w:rPr>
                <w:rFonts w:cs="Arial"/>
                <w:sz w:val="20"/>
                <w:szCs w:val="20"/>
              </w:rPr>
            </w:pPr>
            <w:r>
              <w:rPr>
                <w:rFonts w:cs="Arial"/>
                <w:sz w:val="20"/>
                <w:szCs w:val="20"/>
              </w:rPr>
              <w:t>0.15</w:t>
            </w:r>
          </w:p>
        </w:tc>
      </w:tr>
      <w:tr w:rsidR="006E6194" w14:paraId="597D4143" w14:textId="17F1F5EC" w:rsidTr="009B3E18">
        <w:tc>
          <w:tcPr>
            <w:tcW w:w="0" w:type="auto"/>
            <w:vMerge/>
          </w:tcPr>
          <w:p w14:paraId="02925593"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42E9876C" w14:textId="23D79868" w:rsidR="006A15B1" w:rsidRDefault="006A15B1" w:rsidP="006A15B1">
            <w:pPr>
              <w:pStyle w:val="TableText0"/>
            </w:pPr>
            <w:r w:rsidRPr="00325B0D">
              <w:rPr>
                <w:rFonts w:cs="Arial"/>
                <w:sz w:val="20"/>
                <w:szCs w:val="20"/>
              </w:rPr>
              <w:t>Radish</w:t>
            </w:r>
          </w:p>
        </w:tc>
        <w:tc>
          <w:tcPr>
            <w:tcW w:w="0" w:type="auto"/>
            <w:shd w:val="clear" w:color="auto" w:fill="FFFFFF" w:themeFill="background1"/>
            <w:tcMar>
              <w:left w:w="108" w:type="dxa"/>
              <w:right w:w="108" w:type="dxa"/>
            </w:tcMar>
          </w:tcPr>
          <w:p w14:paraId="13FD1BB9" w14:textId="60639F1E" w:rsidR="006A15B1" w:rsidRDefault="006A15B1" w:rsidP="006A15B1">
            <w:pPr>
              <w:pStyle w:val="TableText0"/>
            </w:pPr>
            <w:r w:rsidRPr="00325B0D">
              <w:rPr>
                <w:rFonts w:cs="Arial"/>
                <w:sz w:val="20"/>
                <w:szCs w:val="20"/>
              </w:rPr>
              <w:t>0.5 – 0.9</w:t>
            </w:r>
          </w:p>
        </w:tc>
        <w:tc>
          <w:tcPr>
            <w:tcW w:w="0" w:type="auto"/>
            <w:shd w:val="clear" w:color="auto" w:fill="FFFFFF" w:themeFill="background1"/>
            <w:tcMar>
              <w:left w:w="108" w:type="dxa"/>
              <w:right w:w="108" w:type="dxa"/>
            </w:tcMar>
          </w:tcPr>
          <w:p w14:paraId="701D3862" w14:textId="638AA081" w:rsidR="006A15B1" w:rsidRDefault="006A15B1" w:rsidP="006A15B1">
            <w:pPr>
              <w:pStyle w:val="TableText0"/>
            </w:pPr>
            <w:r w:rsidRPr="00325B0D">
              <w:rPr>
                <w:rFonts w:cs="Arial"/>
                <w:sz w:val="20"/>
                <w:szCs w:val="20"/>
              </w:rPr>
              <w:t>DW</w:t>
            </w:r>
          </w:p>
        </w:tc>
        <w:tc>
          <w:tcPr>
            <w:tcW w:w="0" w:type="auto"/>
            <w:shd w:val="clear" w:color="auto" w:fill="FFFFFF" w:themeFill="background1"/>
            <w:tcMar>
              <w:left w:w="108" w:type="dxa"/>
              <w:right w:w="108" w:type="dxa"/>
            </w:tcMar>
          </w:tcPr>
          <w:p w14:paraId="2C08FFF0" w14:textId="21138DFB" w:rsidR="006A15B1" w:rsidRDefault="006A15B1" w:rsidP="006A15B1">
            <w:pPr>
              <w:pStyle w:val="TableText0"/>
            </w:pPr>
            <w:r w:rsidRPr="00325B0D">
              <w:rPr>
                <w:rFonts w:cs="Arial"/>
                <w:sz w:val="20"/>
                <w:szCs w:val="20"/>
              </w:rPr>
              <w:t>Blaine et al. 2014</w:t>
            </w:r>
          </w:p>
        </w:tc>
        <w:tc>
          <w:tcPr>
            <w:tcW w:w="0" w:type="auto"/>
            <w:shd w:val="clear" w:color="auto" w:fill="FFFFFF" w:themeFill="background1"/>
          </w:tcPr>
          <w:p w14:paraId="704F693C" w14:textId="7DF0F8C1" w:rsidR="006A15B1" w:rsidRPr="00325B0D" w:rsidRDefault="006A15B1" w:rsidP="006A15B1">
            <w:pPr>
              <w:pStyle w:val="TableText0"/>
              <w:rPr>
                <w:rFonts w:cstheme="minorHAnsi"/>
                <w:sz w:val="20"/>
                <w:szCs w:val="20"/>
              </w:rPr>
            </w:pPr>
            <w:r w:rsidRPr="00325B0D">
              <w:rPr>
                <w:rFonts w:cs="Arial"/>
                <w:sz w:val="20"/>
                <w:szCs w:val="20"/>
              </w:rPr>
              <w:t>90</w:t>
            </w:r>
          </w:p>
        </w:tc>
        <w:tc>
          <w:tcPr>
            <w:tcW w:w="1326" w:type="dxa"/>
            <w:shd w:val="clear" w:color="auto" w:fill="FFFFFF" w:themeFill="background1"/>
          </w:tcPr>
          <w:p w14:paraId="38742997" w14:textId="4D27AECD" w:rsidR="006A15B1" w:rsidRPr="00325B0D" w:rsidRDefault="00A91A00" w:rsidP="006A15B1">
            <w:pPr>
              <w:pStyle w:val="TableText0"/>
              <w:rPr>
                <w:rFonts w:cs="Arial"/>
                <w:sz w:val="20"/>
                <w:szCs w:val="20"/>
              </w:rPr>
            </w:pPr>
            <w:r>
              <w:rPr>
                <w:rFonts w:cs="Arial"/>
                <w:sz w:val="20"/>
                <w:szCs w:val="20"/>
              </w:rPr>
              <w:t>0.09</w:t>
            </w:r>
          </w:p>
        </w:tc>
      </w:tr>
      <w:tr w:rsidR="006E6194" w14:paraId="2C82D692" w14:textId="5B6C4AF0" w:rsidTr="009B3E18">
        <w:tc>
          <w:tcPr>
            <w:tcW w:w="0" w:type="auto"/>
            <w:vMerge/>
          </w:tcPr>
          <w:p w14:paraId="5B518E4B"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62CCACA2" w14:textId="2083F85E" w:rsidR="006A15B1" w:rsidRPr="00325B0D" w:rsidRDefault="006A15B1" w:rsidP="006A15B1">
            <w:pPr>
              <w:pStyle w:val="TableText0"/>
              <w:rPr>
                <w:rFonts w:cstheme="minorHAnsi"/>
                <w:sz w:val="20"/>
                <w:szCs w:val="20"/>
              </w:rPr>
            </w:pPr>
            <w:r w:rsidRPr="00325B0D">
              <w:rPr>
                <w:rFonts w:cs="Arial"/>
                <w:sz w:val="20"/>
                <w:szCs w:val="20"/>
              </w:rPr>
              <w:t xml:space="preserve">Carrot </w:t>
            </w:r>
            <w:r w:rsidR="00FE1CA5" w:rsidRPr="00C535CF">
              <w:rPr>
                <w:b/>
                <w:bCs/>
                <w:sz w:val="20"/>
                <w:szCs w:val="20"/>
                <w:vertAlign w:val="superscript"/>
              </w:rPr>
              <w:t>d</w:t>
            </w:r>
          </w:p>
        </w:tc>
        <w:tc>
          <w:tcPr>
            <w:tcW w:w="0" w:type="auto"/>
            <w:shd w:val="clear" w:color="auto" w:fill="FFFFFF" w:themeFill="background1"/>
            <w:tcMar>
              <w:left w:w="108" w:type="dxa"/>
              <w:right w:w="108" w:type="dxa"/>
            </w:tcMar>
          </w:tcPr>
          <w:p w14:paraId="6107B770" w14:textId="32264C9D" w:rsidR="006A15B1" w:rsidRPr="004F35C7" w:rsidRDefault="006A15B1" w:rsidP="006A15B1">
            <w:pPr>
              <w:pStyle w:val="TableText0"/>
              <w:rPr>
                <w:rFonts w:cstheme="minorHAnsi"/>
                <w:sz w:val="20"/>
                <w:szCs w:val="20"/>
                <w:vertAlign w:val="superscript"/>
              </w:rPr>
            </w:pPr>
            <w:r w:rsidRPr="00325B0D">
              <w:rPr>
                <w:rFonts w:cs="Arial"/>
                <w:sz w:val="20"/>
                <w:szCs w:val="20"/>
              </w:rPr>
              <w:t>3.5</w:t>
            </w:r>
            <w:r w:rsidR="00FE1CA5">
              <w:rPr>
                <w:rFonts w:cs="Arial"/>
                <w:sz w:val="20"/>
                <w:szCs w:val="20"/>
              </w:rPr>
              <w:t xml:space="preserve"> </w:t>
            </w:r>
            <w:r>
              <w:rPr>
                <w:rFonts w:cs="Arial"/>
                <w:sz w:val="20"/>
                <w:szCs w:val="20"/>
                <w:vertAlign w:val="superscript"/>
              </w:rPr>
              <w:t>c</w:t>
            </w:r>
          </w:p>
        </w:tc>
        <w:tc>
          <w:tcPr>
            <w:tcW w:w="0" w:type="auto"/>
            <w:shd w:val="clear" w:color="auto" w:fill="FFFFFF" w:themeFill="background1"/>
            <w:tcMar>
              <w:left w:w="108" w:type="dxa"/>
              <w:right w:w="108" w:type="dxa"/>
            </w:tcMar>
          </w:tcPr>
          <w:p w14:paraId="001535CF" w14:textId="063174D7" w:rsidR="006A15B1" w:rsidRPr="00325B0D" w:rsidRDefault="006A15B1"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48BDEBD0" w14:textId="325BFECC" w:rsidR="006A15B1" w:rsidRPr="00325B0D" w:rsidRDefault="006A15B1" w:rsidP="006A15B1">
            <w:pPr>
              <w:pStyle w:val="TableText0"/>
              <w:rPr>
                <w:rFonts w:cstheme="minorHAnsi"/>
                <w:sz w:val="20"/>
                <w:szCs w:val="20"/>
              </w:rPr>
            </w:pPr>
            <w:proofErr w:type="spellStart"/>
            <w:r w:rsidRPr="00325B0D">
              <w:rPr>
                <w:rFonts w:cs="Arial"/>
                <w:sz w:val="20"/>
                <w:szCs w:val="20"/>
              </w:rPr>
              <w:t>Lasee</w:t>
            </w:r>
            <w:proofErr w:type="spellEnd"/>
            <w:r w:rsidRPr="00325B0D">
              <w:rPr>
                <w:rFonts w:cs="Arial"/>
                <w:sz w:val="20"/>
                <w:szCs w:val="20"/>
              </w:rPr>
              <w:t xml:space="preserve"> et al. 2019</w:t>
            </w:r>
          </w:p>
        </w:tc>
        <w:tc>
          <w:tcPr>
            <w:tcW w:w="0" w:type="auto"/>
            <w:shd w:val="clear" w:color="auto" w:fill="FFFFFF" w:themeFill="background1"/>
          </w:tcPr>
          <w:p w14:paraId="390C6B72" w14:textId="0E4AB5C6" w:rsidR="006A15B1" w:rsidRPr="00325B0D" w:rsidRDefault="006A15B1" w:rsidP="006A15B1">
            <w:pPr>
              <w:pStyle w:val="TableText0"/>
              <w:rPr>
                <w:rFonts w:cstheme="minorHAnsi"/>
                <w:sz w:val="20"/>
                <w:szCs w:val="20"/>
              </w:rPr>
            </w:pPr>
            <w:r w:rsidRPr="00325B0D">
              <w:rPr>
                <w:rFonts w:cs="Arial"/>
                <w:sz w:val="20"/>
                <w:szCs w:val="20"/>
              </w:rPr>
              <w:t>88</w:t>
            </w:r>
          </w:p>
        </w:tc>
        <w:tc>
          <w:tcPr>
            <w:tcW w:w="1326" w:type="dxa"/>
            <w:shd w:val="clear" w:color="auto" w:fill="FFFFFF" w:themeFill="background1"/>
          </w:tcPr>
          <w:p w14:paraId="6483C528" w14:textId="43D42A07" w:rsidR="006A15B1" w:rsidRPr="00325B0D" w:rsidRDefault="00A91A00" w:rsidP="006A15B1">
            <w:pPr>
              <w:pStyle w:val="TableText0"/>
              <w:rPr>
                <w:rFonts w:cs="Arial"/>
                <w:sz w:val="20"/>
                <w:szCs w:val="20"/>
              </w:rPr>
            </w:pPr>
            <w:r>
              <w:rPr>
                <w:rFonts w:cs="Arial"/>
                <w:sz w:val="20"/>
                <w:szCs w:val="20"/>
              </w:rPr>
              <w:t>0.41</w:t>
            </w:r>
          </w:p>
        </w:tc>
      </w:tr>
      <w:tr w:rsidR="006E6194" w14:paraId="4A432F3E" w14:textId="2E2F85EB" w:rsidTr="009B3E18">
        <w:tc>
          <w:tcPr>
            <w:tcW w:w="0" w:type="auto"/>
            <w:vMerge/>
          </w:tcPr>
          <w:p w14:paraId="73A00212"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5C7C60C0" w14:textId="632C225A" w:rsidR="006A15B1" w:rsidRPr="00325B0D" w:rsidRDefault="006A15B1" w:rsidP="006A15B1">
            <w:pPr>
              <w:pStyle w:val="TableText0"/>
              <w:rPr>
                <w:rFonts w:cstheme="minorHAnsi"/>
                <w:sz w:val="20"/>
                <w:szCs w:val="20"/>
              </w:rPr>
            </w:pPr>
            <w:r w:rsidRPr="00325B0D">
              <w:rPr>
                <w:rFonts w:cs="Arial"/>
                <w:sz w:val="20"/>
                <w:szCs w:val="20"/>
              </w:rPr>
              <w:t>Carrot peel</w:t>
            </w:r>
          </w:p>
        </w:tc>
        <w:tc>
          <w:tcPr>
            <w:tcW w:w="0" w:type="auto"/>
            <w:shd w:val="clear" w:color="auto" w:fill="FFFFFF" w:themeFill="background1"/>
            <w:tcMar>
              <w:left w:w="108" w:type="dxa"/>
              <w:right w:w="108" w:type="dxa"/>
            </w:tcMar>
          </w:tcPr>
          <w:p w14:paraId="2A989B77" w14:textId="2F2EC418" w:rsidR="006A15B1" w:rsidRPr="00325B0D" w:rsidRDefault="006A15B1" w:rsidP="006A15B1">
            <w:pPr>
              <w:pStyle w:val="TableText0"/>
              <w:rPr>
                <w:rFonts w:cstheme="minorHAnsi"/>
                <w:sz w:val="20"/>
                <w:szCs w:val="20"/>
              </w:rPr>
            </w:pPr>
            <w:r w:rsidRPr="00325B0D">
              <w:rPr>
                <w:rFonts w:cs="Arial"/>
                <w:sz w:val="20"/>
                <w:szCs w:val="20"/>
              </w:rPr>
              <w:t>0.4 – 0.6</w:t>
            </w:r>
          </w:p>
        </w:tc>
        <w:tc>
          <w:tcPr>
            <w:tcW w:w="0" w:type="auto"/>
            <w:shd w:val="clear" w:color="auto" w:fill="FFFFFF" w:themeFill="background1"/>
            <w:tcMar>
              <w:left w:w="108" w:type="dxa"/>
              <w:right w:w="108" w:type="dxa"/>
            </w:tcMar>
          </w:tcPr>
          <w:p w14:paraId="3B90E56B" w14:textId="302587B0" w:rsidR="006A15B1" w:rsidRPr="00325B0D" w:rsidRDefault="006A15B1"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40BE14C2" w14:textId="2AD342E8" w:rsidR="006A15B1" w:rsidRPr="00325B0D" w:rsidRDefault="006A15B1" w:rsidP="006A15B1">
            <w:pPr>
              <w:pStyle w:val="TableText0"/>
              <w:rPr>
                <w:rFonts w:cstheme="minorHAnsi"/>
                <w:sz w:val="20"/>
                <w:szCs w:val="20"/>
              </w:rPr>
            </w:pPr>
            <w:proofErr w:type="spellStart"/>
            <w:r w:rsidRPr="00325B0D">
              <w:rPr>
                <w:rFonts w:cs="Arial"/>
                <w:sz w:val="20"/>
                <w:szCs w:val="20"/>
              </w:rPr>
              <w:t>Bizkarguenaga</w:t>
            </w:r>
            <w:proofErr w:type="spellEnd"/>
            <w:r w:rsidRPr="00325B0D">
              <w:rPr>
                <w:rFonts w:cs="Arial"/>
                <w:sz w:val="20"/>
                <w:szCs w:val="20"/>
              </w:rPr>
              <w:t xml:space="preserve"> et al. 2016</w:t>
            </w:r>
          </w:p>
        </w:tc>
        <w:tc>
          <w:tcPr>
            <w:tcW w:w="0" w:type="auto"/>
            <w:shd w:val="clear" w:color="auto" w:fill="FFFFFF" w:themeFill="background1"/>
          </w:tcPr>
          <w:p w14:paraId="572F3CFA" w14:textId="05BA7B34" w:rsidR="006A15B1" w:rsidRPr="00325B0D" w:rsidRDefault="006A15B1" w:rsidP="006A15B1">
            <w:pPr>
              <w:pStyle w:val="TableText0"/>
              <w:rPr>
                <w:rFonts w:cstheme="minorHAnsi"/>
                <w:sz w:val="20"/>
                <w:szCs w:val="20"/>
              </w:rPr>
            </w:pPr>
            <w:r w:rsidRPr="00325B0D">
              <w:rPr>
                <w:rFonts w:cs="Arial"/>
                <w:sz w:val="20"/>
                <w:szCs w:val="20"/>
              </w:rPr>
              <w:t>88</w:t>
            </w:r>
          </w:p>
        </w:tc>
        <w:tc>
          <w:tcPr>
            <w:tcW w:w="1326" w:type="dxa"/>
            <w:shd w:val="clear" w:color="auto" w:fill="FFFFFF" w:themeFill="background1"/>
          </w:tcPr>
          <w:p w14:paraId="703161E8" w14:textId="06E68220" w:rsidR="006A15B1" w:rsidRPr="00325B0D" w:rsidRDefault="00A91A00" w:rsidP="006A15B1">
            <w:pPr>
              <w:pStyle w:val="TableText0"/>
              <w:rPr>
                <w:rFonts w:cs="Arial"/>
                <w:sz w:val="20"/>
                <w:szCs w:val="20"/>
              </w:rPr>
            </w:pPr>
            <w:r>
              <w:rPr>
                <w:rFonts w:cs="Arial"/>
                <w:sz w:val="20"/>
                <w:szCs w:val="20"/>
              </w:rPr>
              <w:t>0.07</w:t>
            </w:r>
          </w:p>
        </w:tc>
      </w:tr>
      <w:tr w:rsidR="006E6194" w14:paraId="1EBC8DE5" w14:textId="318603CF" w:rsidTr="009B3E18">
        <w:tc>
          <w:tcPr>
            <w:tcW w:w="0" w:type="auto"/>
            <w:vMerge/>
          </w:tcPr>
          <w:p w14:paraId="32427D09"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3BC39A89" w14:textId="5E1520DA" w:rsidR="006A15B1" w:rsidRPr="00325B0D" w:rsidRDefault="006A15B1" w:rsidP="006A15B1">
            <w:pPr>
              <w:pStyle w:val="TableText0"/>
              <w:rPr>
                <w:rFonts w:cstheme="minorHAnsi"/>
                <w:sz w:val="20"/>
                <w:szCs w:val="20"/>
              </w:rPr>
            </w:pPr>
            <w:r w:rsidRPr="00325B0D">
              <w:rPr>
                <w:rFonts w:cs="Arial"/>
                <w:sz w:val="20"/>
                <w:szCs w:val="20"/>
              </w:rPr>
              <w:t>Carrot peel</w:t>
            </w:r>
          </w:p>
        </w:tc>
        <w:tc>
          <w:tcPr>
            <w:tcW w:w="0" w:type="auto"/>
            <w:shd w:val="clear" w:color="auto" w:fill="FFFFFF" w:themeFill="background1"/>
            <w:tcMar>
              <w:left w:w="108" w:type="dxa"/>
              <w:right w:w="108" w:type="dxa"/>
            </w:tcMar>
          </w:tcPr>
          <w:p w14:paraId="5A0C528F" w14:textId="6B9A366A" w:rsidR="006A15B1" w:rsidRPr="00325B0D" w:rsidRDefault="006A15B1" w:rsidP="006A15B1">
            <w:pPr>
              <w:pStyle w:val="TableText0"/>
              <w:rPr>
                <w:rFonts w:cstheme="minorHAnsi"/>
                <w:sz w:val="20"/>
                <w:szCs w:val="20"/>
              </w:rPr>
            </w:pPr>
            <w:r w:rsidRPr="00325B0D">
              <w:rPr>
                <w:rFonts w:cs="Arial"/>
                <w:sz w:val="20"/>
                <w:szCs w:val="20"/>
              </w:rPr>
              <w:t>0.04</w:t>
            </w:r>
          </w:p>
        </w:tc>
        <w:tc>
          <w:tcPr>
            <w:tcW w:w="0" w:type="auto"/>
            <w:shd w:val="clear" w:color="auto" w:fill="FFFFFF" w:themeFill="background1"/>
            <w:tcMar>
              <w:left w:w="108" w:type="dxa"/>
              <w:right w:w="108" w:type="dxa"/>
            </w:tcMar>
          </w:tcPr>
          <w:p w14:paraId="25C81B28" w14:textId="16267DF1" w:rsidR="006A15B1" w:rsidRPr="00325B0D" w:rsidRDefault="006A15B1" w:rsidP="006A15B1">
            <w:pPr>
              <w:pStyle w:val="TableText0"/>
              <w:rPr>
                <w:rFonts w:cstheme="minorHAnsi"/>
                <w:sz w:val="20"/>
                <w:szCs w:val="20"/>
              </w:rPr>
            </w:pPr>
            <w:r w:rsidRPr="00325B0D">
              <w:rPr>
                <w:rFonts w:cs="Arial"/>
                <w:sz w:val="20"/>
                <w:szCs w:val="20"/>
              </w:rPr>
              <w:t>WW</w:t>
            </w:r>
          </w:p>
        </w:tc>
        <w:tc>
          <w:tcPr>
            <w:tcW w:w="0" w:type="auto"/>
            <w:shd w:val="clear" w:color="auto" w:fill="FFFFFF" w:themeFill="background1"/>
            <w:tcMar>
              <w:left w:w="108" w:type="dxa"/>
              <w:right w:w="108" w:type="dxa"/>
            </w:tcMar>
          </w:tcPr>
          <w:p w14:paraId="08C693E5" w14:textId="5DBA3CB9" w:rsidR="006A15B1" w:rsidRPr="00325B0D" w:rsidRDefault="006A15B1" w:rsidP="006A15B1">
            <w:pPr>
              <w:pStyle w:val="TableText0"/>
              <w:rPr>
                <w:rFonts w:cstheme="minorHAnsi"/>
                <w:sz w:val="20"/>
                <w:szCs w:val="20"/>
              </w:rPr>
            </w:pPr>
            <w:r w:rsidRPr="00325B0D">
              <w:rPr>
                <w:rFonts w:cs="Arial"/>
                <w:sz w:val="20"/>
                <w:szCs w:val="20"/>
              </w:rPr>
              <w:t>Lechner &amp; Knapp 2011</w:t>
            </w:r>
          </w:p>
        </w:tc>
        <w:tc>
          <w:tcPr>
            <w:tcW w:w="0" w:type="auto"/>
            <w:shd w:val="clear" w:color="auto" w:fill="FFFFFF" w:themeFill="background1"/>
          </w:tcPr>
          <w:p w14:paraId="45245ACF" w14:textId="4CB86B8F" w:rsidR="006A15B1" w:rsidRPr="00325B0D" w:rsidRDefault="006A15B1" w:rsidP="006A15B1">
            <w:pPr>
              <w:pStyle w:val="TableText0"/>
              <w:rPr>
                <w:rFonts w:cstheme="minorHAnsi"/>
                <w:sz w:val="20"/>
                <w:szCs w:val="20"/>
              </w:rPr>
            </w:pPr>
            <w:r w:rsidRPr="00325B0D">
              <w:rPr>
                <w:rFonts w:cs="Arial"/>
                <w:sz w:val="20"/>
                <w:szCs w:val="20"/>
              </w:rPr>
              <w:t>NR</w:t>
            </w:r>
          </w:p>
        </w:tc>
        <w:tc>
          <w:tcPr>
            <w:tcW w:w="1326" w:type="dxa"/>
            <w:shd w:val="clear" w:color="auto" w:fill="FFFFFF" w:themeFill="background1"/>
          </w:tcPr>
          <w:p w14:paraId="7D4CDFDB" w14:textId="06835688" w:rsidR="006A15B1" w:rsidRPr="00325B0D" w:rsidRDefault="00A91A00" w:rsidP="006A15B1">
            <w:pPr>
              <w:pStyle w:val="TableText0"/>
              <w:rPr>
                <w:rFonts w:cs="Arial"/>
                <w:sz w:val="20"/>
                <w:szCs w:val="20"/>
              </w:rPr>
            </w:pPr>
            <w:r>
              <w:rPr>
                <w:rFonts w:cs="Arial"/>
                <w:sz w:val="20"/>
                <w:szCs w:val="20"/>
              </w:rPr>
              <w:t>0.04</w:t>
            </w:r>
          </w:p>
        </w:tc>
      </w:tr>
      <w:tr w:rsidR="006E6194" w14:paraId="72799C94" w14:textId="0934D597" w:rsidTr="009B3E18">
        <w:tc>
          <w:tcPr>
            <w:tcW w:w="0" w:type="auto"/>
            <w:vMerge/>
          </w:tcPr>
          <w:p w14:paraId="65306ADC"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0D8066F2" w14:textId="5A032B6F" w:rsidR="006A15B1" w:rsidRPr="00325B0D" w:rsidRDefault="006A15B1" w:rsidP="006A15B1">
            <w:pPr>
              <w:pStyle w:val="TableText0"/>
              <w:rPr>
                <w:rFonts w:cstheme="minorHAnsi"/>
                <w:sz w:val="20"/>
                <w:szCs w:val="20"/>
              </w:rPr>
            </w:pPr>
            <w:r w:rsidRPr="00325B0D">
              <w:rPr>
                <w:rFonts w:cs="Arial"/>
                <w:sz w:val="20"/>
                <w:szCs w:val="20"/>
              </w:rPr>
              <w:t>Peeled carrot</w:t>
            </w:r>
          </w:p>
        </w:tc>
        <w:tc>
          <w:tcPr>
            <w:tcW w:w="0" w:type="auto"/>
            <w:shd w:val="clear" w:color="auto" w:fill="FFFFFF" w:themeFill="background1"/>
            <w:tcMar>
              <w:left w:w="108" w:type="dxa"/>
              <w:right w:w="108" w:type="dxa"/>
            </w:tcMar>
          </w:tcPr>
          <w:p w14:paraId="11FA1068" w14:textId="46A61D09" w:rsidR="006A15B1" w:rsidRPr="00325B0D" w:rsidRDefault="006A15B1" w:rsidP="006A15B1">
            <w:pPr>
              <w:pStyle w:val="TableText0"/>
              <w:rPr>
                <w:rFonts w:cstheme="minorHAnsi"/>
                <w:sz w:val="20"/>
                <w:szCs w:val="20"/>
              </w:rPr>
            </w:pPr>
            <w:r w:rsidRPr="00325B0D">
              <w:rPr>
                <w:rFonts w:cs="Arial"/>
                <w:sz w:val="20"/>
                <w:szCs w:val="20"/>
              </w:rPr>
              <w:t>0.3</w:t>
            </w:r>
          </w:p>
        </w:tc>
        <w:tc>
          <w:tcPr>
            <w:tcW w:w="0" w:type="auto"/>
            <w:shd w:val="clear" w:color="auto" w:fill="FFFFFF" w:themeFill="background1"/>
            <w:tcMar>
              <w:left w:w="108" w:type="dxa"/>
              <w:right w:w="108" w:type="dxa"/>
            </w:tcMar>
          </w:tcPr>
          <w:p w14:paraId="41542BFD" w14:textId="6DB4C8B2" w:rsidR="006A15B1" w:rsidRPr="00325B0D" w:rsidRDefault="006A15B1" w:rsidP="006A15B1">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55286A51" w14:textId="4B843A1E" w:rsidR="006A15B1" w:rsidRPr="00325B0D" w:rsidRDefault="006A15B1" w:rsidP="006A15B1">
            <w:pPr>
              <w:pStyle w:val="TableText0"/>
              <w:rPr>
                <w:rFonts w:cstheme="minorHAnsi"/>
                <w:sz w:val="20"/>
                <w:szCs w:val="20"/>
              </w:rPr>
            </w:pPr>
            <w:proofErr w:type="spellStart"/>
            <w:r w:rsidRPr="00325B0D">
              <w:rPr>
                <w:rFonts w:cs="Arial"/>
                <w:sz w:val="20"/>
                <w:szCs w:val="20"/>
              </w:rPr>
              <w:t>Bizkarguenaga</w:t>
            </w:r>
            <w:proofErr w:type="spellEnd"/>
            <w:r w:rsidRPr="00325B0D">
              <w:rPr>
                <w:rFonts w:cs="Arial"/>
                <w:sz w:val="20"/>
                <w:szCs w:val="20"/>
              </w:rPr>
              <w:t xml:space="preserve"> et al. 2016</w:t>
            </w:r>
          </w:p>
        </w:tc>
        <w:tc>
          <w:tcPr>
            <w:tcW w:w="0" w:type="auto"/>
            <w:shd w:val="clear" w:color="auto" w:fill="FFFFFF" w:themeFill="background1"/>
          </w:tcPr>
          <w:p w14:paraId="0A83845D" w14:textId="2AB668A4" w:rsidR="006A15B1" w:rsidRPr="00325B0D" w:rsidRDefault="006A15B1" w:rsidP="006A15B1">
            <w:pPr>
              <w:pStyle w:val="TableText0"/>
              <w:rPr>
                <w:rFonts w:cstheme="minorHAnsi"/>
                <w:sz w:val="20"/>
                <w:szCs w:val="20"/>
              </w:rPr>
            </w:pPr>
            <w:r w:rsidRPr="00325B0D">
              <w:rPr>
                <w:rFonts w:cs="Arial"/>
                <w:sz w:val="20"/>
                <w:szCs w:val="20"/>
              </w:rPr>
              <w:t>88</w:t>
            </w:r>
          </w:p>
        </w:tc>
        <w:tc>
          <w:tcPr>
            <w:tcW w:w="1326" w:type="dxa"/>
            <w:shd w:val="clear" w:color="auto" w:fill="FFFFFF" w:themeFill="background1"/>
          </w:tcPr>
          <w:p w14:paraId="4AF2AD3D" w14:textId="6720F7A9" w:rsidR="006A15B1" w:rsidRPr="00325B0D" w:rsidRDefault="008950CA" w:rsidP="006A15B1">
            <w:pPr>
              <w:pStyle w:val="TableText0"/>
              <w:rPr>
                <w:rFonts w:cs="Arial"/>
                <w:sz w:val="20"/>
                <w:szCs w:val="20"/>
              </w:rPr>
            </w:pPr>
            <w:r>
              <w:rPr>
                <w:rFonts w:cs="Arial"/>
                <w:sz w:val="20"/>
                <w:szCs w:val="20"/>
              </w:rPr>
              <w:t>0.04</w:t>
            </w:r>
          </w:p>
        </w:tc>
      </w:tr>
      <w:tr w:rsidR="006E6194" w14:paraId="67B10C6B" w14:textId="5AECDD84" w:rsidTr="009B3E18">
        <w:tc>
          <w:tcPr>
            <w:tcW w:w="0" w:type="auto"/>
            <w:vMerge/>
          </w:tcPr>
          <w:p w14:paraId="39D67B59" w14:textId="77777777" w:rsidR="006A15B1" w:rsidRPr="00DA71B8" w:rsidRDefault="006A15B1" w:rsidP="006A15B1">
            <w:pPr>
              <w:pStyle w:val="TableText0"/>
            </w:pPr>
          </w:p>
        </w:tc>
        <w:tc>
          <w:tcPr>
            <w:tcW w:w="0" w:type="auto"/>
            <w:shd w:val="clear" w:color="auto" w:fill="FFFFFF" w:themeFill="background1"/>
            <w:tcMar>
              <w:left w:w="108" w:type="dxa"/>
              <w:right w:w="108" w:type="dxa"/>
            </w:tcMar>
          </w:tcPr>
          <w:p w14:paraId="7446E95C" w14:textId="32D929F4" w:rsidR="006A15B1" w:rsidRPr="00325B0D" w:rsidRDefault="006A15B1" w:rsidP="006A15B1">
            <w:pPr>
              <w:pStyle w:val="TableText0"/>
              <w:rPr>
                <w:rFonts w:cstheme="minorHAnsi"/>
                <w:sz w:val="20"/>
                <w:szCs w:val="20"/>
              </w:rPr>
            </w:pPr>
            <w:r w:rsidRPr="00325B0D">
              <w:rPr>
                <w:rFonts w:cs="Arial"/>
                <w:sz w:val="20"/>
                <w:szCs w:val="20"/>
              </w:rPr>
              <w:t>Peeled carrot</w:t>
            </w:r>
          </w:p>
        </w:tc>
        <w:tc>
          <w:tcPr>
            <w:tcW w:w="0" w:type="auto"/>
            <w:shd w:val="clear" w:color="auto" w:fill="FFFFFF" w:themeFill="background1"/>
            <w:tcMar>
              <w:left w:w="108" w:type="dxa"/>
              <w:right w:w="108" w:type="dxa"/>
            </w:tcMar>
          </w:tcPr>
          <w:p w14:paraId="5F735B11" w14:textId="502B4F54" w:rsidR="006A15B1" w:rsidRPr="00325B0D" w:rsidRDefault="006A15B1" w:rsidP="006A15B1">
            <w:pPr>
              <w:pStyle w:val="TableText0"/>
              <w:rPr>
                <w:rFonts w:cstheme="minorHAnsi"/>
                <w:sz w:val="20"/>
                <w:szCs w:val="20"/>
              </w:rPr>
            </w:pPr>
            <w:r w:rsidRPr="00325B0D">
              <w:rPr>
                <w:rFonts w:cs="Arial"/>
                <w:sz w:val="20"/>
                <w:szCs w:val="20"/>
              </w:rPr>
              <w:t>0.05</w:t>
            </w:r>
          </w:p>
        </w:tc>
        <w:tc>
          <w:tcPr>
            <w:tcW w:w="0" w:type="auto"/>
            <w:shd w:val="clear" w:color="auto" w:fill="FFFFFF" w:themeFill="background1"/>
            <w:tcMar>
              <w:left w:w="108" w:type="dxa"/>
              <w:right w:w="108" w:type="dxa"/>
            </w:tcMar>
          </w:tcPr>
          <w:p w14:paraId="677983B3" w14:textId="288F339E" w:rsidR="006A15B1" w:rsidRPr="00325B0D" w:rsidRDefault="006A15B1" w:rsidP="006A15B1">
            <w:pPr>
              <w:pStyle w:val="TableText0"/>
              <w:rPr>
                <w:rFonts w:cstheme="minorHAnsi"/>
                <w:sz w:val="20"/>
                <w:szCs w:val="20"/>
              </w:rPr>
            </w:pPr>
            <w:r w:rsidRPr="00325B0D">
              <w:rPr>
                <w:rFonts w:cs="Arial"/>
                <w:sz w:val="20"/>
                <w:szCs w:val="20"/>
              </w:rPr>
              <w:t>WW</w:t>
            </w:r>
          </w:p>
        </w:tc>
        <w:tc>
          <w:tcPr>
            <w:tcW w:w="0" w:type="auto"/>
            <w:shd w:val="clear" w:color="auto" w:fill="FFFFFF" w:themeFill="background1"/>
            <w:tcMar>
              <w:left w:w="108" w:type="dxa"/>
              <w:right w:w="108" w:type="dxa"/>
            </w:tcMar>
          </w:tcPr>
          <w:p w14:paraId="3BBE52C7" w14:textId="18BBEFAB" w:rsidR="006A15B1" w:rsidRPr="00325B0D" w:rsidRDefault="006A15B1" w:rsidP="006A15B1">
            <w:pPr>
              <w:pStyle w:val="TableText0"/>
              <w:rPr>
                <w:rFonts w:cstheme="minorHAnsi"/>
                <w:sz w:val="20"/>
                <w:szCs w:val="20"/>
              </w:rPr>
            </w:pPr>
            <w:r w:rsidRPr="00325B0D">
              <w:rPr>
                <w:rFonts w:cs="Arial"/>
                <w:sz w:val="20"/>
                <w:szCs w:val="20"/>
              </w:rPr>
              <w:t>Lechner &amp; Knapp 2011</w:t>
            </w:r>
          </w:p>
        </w:tc>
        <w:tc>
          <w:tcPr>
            <w:tcW w:w="0" w:type="auto"/>
            <w:shd w:val="clear" w:color="auto" w:fill="FFFFFF" w:themeFill="background1"/>
          </w:tcPr>
          <w:p w14:paraId="0F7A7396" w14:textId="7CE64098" w:rsidR="006A15B1" w:rsidRPr="00325B0D" w:rsidRDefault="006A15B1" w:rsidP="006A15B1">
            <w:pPr>
              <w:pStyle w:val="TableText0"/>
              <w:rPr>
                <w:rFonts w:cstheme="minorHAnsi"/>
                <w:sz w:val="20"/>
                <w:szCs w:val="20"/>
              </w:rPr>
            </w:pPr>
            <w:r w:rsidRPr="00325B0D">
              <w:rPr>
                <w:rFonts w:cs="Arial"/>
                <w:sz w:val="20"/>
                <w:szCs w:val="20"/>
              </w:rPr>
              <w:t>NR</w:t>
            </w:r>
          </w:p>
        </w:tc>
        <w:tc>
          <w:tcPr>
            <w:tcW w:w="1326" w:type="dxa"/>
            <w:shd w:val="clear" w:color="auto" w:fill="FFFFFF" w:themeFill="background1"/>
          </w:tcPr>
          <w:p w14:paraId="4BFB016C" w14:textId="4D088EB0" w:rsidR="006A15B1" w:rsidRPr="00325B0D" w:rsidRDefault="008950CA" w:rsidP="006A15B1">
            <w:pPr>
              <w:pStyle w:val="TableText0"/>
              <w:rPr>
                <w:rFonts w:cs="Arial"/>
                <w:sz w:val="20"/>
                <w:szCs w:val="20"/>
              </w:rPr>
            </w:pPr>
            <w:r>
              <w:rPr>
                <w:rFonts w:cs="Arial"/>
                <w:sz w:val="20"/>
                <w:szCs w:val="20"/>
              </w:rPr>
              <w:t>0.05</w:t>
            </w:r>
          </w:p>
        </w:tc>
      </w:tr>
      <w:tr w:rsidR="006E6194" w:rsidRPr="00C96EE9" w14:paraId="615C416B" w14:textId="7772585C" w:rsidTr="009B3E18">
        <w:tc>
          <w:tcPr>
            <w:tcW w:w="0" w:type="auto"/>
            <w:vMerge w:val="restart"/>
          </w:tcPr>
          <w:p w14:paraId="353D9A48" w14:textId="685783B6" w:rsidR="006A15B1" w:rsidRPr="00DA71B8" w:rsidRDefault="006A15B1" w:rsidP="006A15B1">
            <w:pPr>
              <w:pStyle w:val="TableText0"/>
            </w:pPr>
            <w:r>
              <w:t>Tuber vegetable</w:t>
            </w:r>
          </w:p>
        </w:tc>
        <w:tc>
          <w:tcPr>
            <w:tcW w:w="0" w:type="auto"/>
            <w:shd w:val="clear" w:color="auto" w:fill="FFFFFF" w:themeFill="background1"/>
            <w:tcMar>
              <w:left w:w="108" w:type="dxa"/>
              <w:right w:w="108" w:type="dxa"/>
            </w:tcMar>
          </w:tcPr>
          <w:p w14:paraId="17548810" w14:textId="6146D3AA" w:rsidR="006A15B1" w:rsidRPr="00C96EE9" w:rsidRDefault="006A15B1" w:rsidP="006A15B1">
            <w:pPr>
              <w:pStyle w:val="TableText0"/>
              <w:rPr>
                <w:b/>
                <w:bCs/>
              </w:rPr>
            </w:pPr>
            <w:r w:rsidRPr="00C96EE9">
              <w:rPr>
                <w:rFonts w:cs="Arial"/>
                <w:b/>
                <w:bCs/>
                <w:sz w:val="20"/>
                <w:szCs w:val="20"/>
              </w:rPr>
              <w:t>Potato peel</w:t>
            </w:r>
          </w:p>
        </w:tc>
        <w:tc>
          <w:tcPr>
            <w:tcW w:w="0" w:type="auto"/>
            <w:shd w:val="clear" w:color="auto" w:fill="FFFFFF" w:themeFill="background1"/>
            <w:tcMar>
              <w:left w:w="108" w:type="dxa"/>
              <w:right w:w="108" w:type="dxa"/>
            </w:tcMar>
          </w:tcPr>
          <w:p w14:paraId="20F4815E" w14:textId="446A9BB7" w:rsidR="006A15B1" w:rsidRPr="00C96EE9" w:rsidRDefault="006A15B1" w:rsidP="006A15B1">
            <w:pPr>
              <w:pStyle w:val="TableText0"/>
              <w:rPr>
                <w:b/>
                <w:bCs/>
              </w:rPr>
            </w:pPr>
            <w:r w:rsidRPr="00C96EE9">
              <w:rPr>
                <w:rFonts w:cs="Arial"/>
                <w:b/>
                <w:bCs/>
                <w:sz w:val="20"/>
                <w:szCs w:val="20"/>
              </w:rPr>
              <w:t>0.02 – 0.03</w:t>
            </w:r>
          </w:p>
        </w:tc>
        <w:tc>
          <w:tcPr>
            <w:tcW w:w="0" w:type="auto"/>
            <w:shd w:val="clear" w:color="auto" w:fill="FFFFFF" w:themeFill="background1"/>
            <w:tcMar>
              <w:left w:w="108" w:type="dxa"/>
              <w:right w:w="108" w:type="dxa"/>
            </w:tcMar>
          </w:tcPr>
          <w:p w14:paraId="5F13A56C" w14:textId="01785C8A" w:rsidR="006A15B1" w:rsidRPr="00C96EE9" w:rsidRDefault="006A15B1" w:rsidP="006A15B1">
            <w:pPr>
              <w:pStyle w:val="TableText0"/>
              <w:rPr>
                <w:b/>
                <w:bCs/>
              </w:rPr>
            </w:pPr>
            <w:r w:rsidRPr="00C96EE9">
              <w:rPr>
                <w:rFonts w:cs="Arial"/>
                <w:b/>
                <w:bCs/>
                <w:sz w:val="20"/>
                <w:szCs w:val="20"/>
              </w:rPr>
              <w:t>WW</w:t>
            </w:r>
          </w:p>
        </w:tc>
        <w:tc>
          <w:tcPr>
            <w:tcW w:w="0" w:type="auto"/>
            <w:shd w:val="clear" w:color="auto" w:fill="FFFFFF" w:themeFill="background1"/>
            <w:tcMar>
              <w:left w:w="108" w:type="dxa"/>
              <w:right w:w="108" w:type="dxa"/>
            </w:tcMar>
          </w:tcPr>
          <w:p w14:paraId="0FBE1BDF" w14:textId="0FF483EC" w:rsidR="006A15B1" w:rsidRPr="00C96EE9" w:rsidRDefault="006A15B1" w:rsidP="006A15B1">
            <w:pPr>
              <w:pStyle w:val="TableText0"/>
              <w:rPr>
                <w:b/>
                <w:bCs/>
              </w:rPr>
            </w:pPr>
            <w:r w:rsidRPr="00C96EE9">
              <w:rPr>
                <w:rFonts w:cs="Arial"/>
                <w:b/>
                <w:bCs/>
                <w:sz w:val="20"/>
                <w:szCs w:val="20"/>
              </w:rPr>
              <w:t>Lechner &amp; Knapp 2011</w:t>
            </w:r>
          </w:p>
        </w:tc>
        <w:tc>
          <w:tcPr>
            <w:tcW w:w="0" w:type="auto"/>
            <w:shd w:val="clear" w:color="auto" w:fill="FFFFFF" w:themeFill="background1"/>
          </w:tcPr>
          <w:p w14:paraId="0B3FE240" w14:textId="6506BE44" w:rsidR="006A15B1" w:rsidRPr="00C96EE9" w:rsidRDefault="006A15B1" w:rsidP="006A15B1">
            <w:pPr>
              <w:pStyle w:val="TableText0"/>
              <w:rPr>
                <w:rFonts w:cstheme="minorHAnsi"/>
                <w:b/>
                <w:bCs/>
                <w:sz w:val="20"/>
                <w:szCs w:val="20"/>
              </w:rPr>
            </w:pPr>
            <w:r w:rsidRPr="00C96EE9">
              <w:rPr>
                <w:rFonts w:cs="Arial"/>
                <w:b/>
                <w:bCs/>
                <w:sz w:val="20"/>
                <w:szCs w:val="20"/>
              </w:rPr>
              <w:t>NR</w:t>
            </w:r>
          </w:p>
        </w:tc>
        <w:tc>
          <w:tcPr>
            <w:tcW w:w="1326" w:type="dxa"/>
            <w:shd w:val="clear" w:color="auto" w:fill="FFFFFF" w:themeFill="background1"/>
          </w:tcPr>
          <w:p w14:paraId="78B4B03D" w14:textId="2EB3C426" w:rsidR="006A15B1" w:rsidRPr="00C96EE9" w:rsidRDefault="008950CA" w:rsidP="006A15B1">
            <w:pPr>
              <w:pStyle w:val="TableText0"/>
              <w:rPr>
                <w:rFonts w:cs="Arial"/>
                <w:b/>
                <w:bCs/>
                <w:sz w:val="20"/>
                <w:szCs w:val="20"/>
              </w:rPr>
            </w:pPr>
            <w:r>
              <w:rPr>
                <w:rFonts w:cs="Arial"/>
                <w:b/>
                <w:bCs/>
                <w:sz w:val="20"/>
                <w:szCs w:val="20"/>
              </w:rPr>
              <w:t>0.03</w:t>
            </w:r>
          </w:p>
        </w:tc>
      </w:tr>
      <w:tr w:rsidR="006E6194" w14:paraId="500FBB81" w14:textId="70FA9E71" w:rsidTr="009B3E18">
        <w:tc>
          <w:tcPr>
            <w:tcW w:w="0" w:type="auto"/>
            <w:vMerge/>
          </w:tcPr>
          <w:p w14:paraId="6B384F32" w14:textId="77777777" w:rsidR="006A15B1" w:rsidRDefault="006A15B1" w:rsidP="006A15B1">
            <w:pPr>
              <w:pStyle w:val="TableText0"/>
            </w:pPr>
          </w:p>
        </w:tc>
        <w:tc>
          <w:tcPr>
            <w:tcW w:w="0" w:type="auto"/>
            <w:shd w:val="clear" w:color="auto" w:fill="FFFFFF" w:themeFill="background1"/>
            <w:tcMar>
              <w:left w:w="108" w:type="dxa"/>
              <w:right w:w="108" w:type="dxa"/>
            </w:tcMar>
          </w:tcPr>
          <w:p w14:paraId="6A431005" w14:textId="6EF0D24B" w:rsidR="006A15B1" w:rsidRDefault="006A15B1" w:rsidP="006A15B1">
            <w:pPr>
              <w:pStyle w:val="TableText0"/>
            </w:pPr>
            <w:r w:rsidRPr="00325B0D">
              <w:rPr>
                <w:rFonts w:cs="Arial"/>
                <w:sz w:val="20"/>
                <w:szCs w:val="20"/>
              </w:rPr>
              <w:t>Peeled potato</w:t>
            </w:r>
          </w:p>
        </w:tc>
        <w:tc>
          <w:tcPr>
            <w:tcW w:w="0" w:type="auto"/>
            <w:shd w:val="clear" w:color="auto" w:fill="FFFFFF" w:themeFill="background1"/>
            <w:tcMar>
              <w:left w:w="108" w:type="dxa"/>
              <w:right w:w="108" w:type="dxa"/>
            </w:tcMar>
          </w:tcPr>
          <w:p w14:paraId="29CA8E86" w14:textId="1FB19D2F" w:rsidR="006A15B1" w:rsidRDefault="006A15B1" w:rsidP="006A15B1">
            <w:pPr>
              <w:pStyle w:val="TableText0"/>
            </w:pPr>
            <w:r w:rsidRPr="00325B0D">
              <w:rPr>
                <w:rFonts w:cs="Arial"/>
                <w:sz w:val="20"/>
                <w:szCs w:val="20"/>
              </w:rPr>
              <w:t>0.01</w:t>
            </w:r>
          </w:p>
        </w:tc>
        <w:tc>
          <w:tcPr>
            <w:tcW w:w="0" w:type="auto"/>
            <w:shd w:val="clear" w:color="auto" w:fill="FFFFFF" w:themeFill="background1"/>
            <w:tcMar>
              <w:left w:w="108" w:type="dxa"/>
              <w:right w:w="108" w:type="dxa"/>
            </w:tcMar>
          </w:tcPr>
          <w:p w14:paraId="5ACA6413" w14:textId="0615DB71" w:rsidR="006A15B1" w:rsidRDefault="006A15B1" w:rsidP="006A15B1">
            <w:pPr>
              <w:pStyle w:val="TableText0"/>
            </w:pPr>
            <w:r w:rsidRPr="00325B0D">
              <w:rPr>
                <w:rFonts w:cs="Arial"/>
                <w:sz w:val="20"/>
                <w:szCs w:val="20"/>
              </w:rPr>
              <w:t>WW</w:t>
            </w:r>
          </w:p>
        </w:tc>
        <w:tc>
          <w:tcPr>
            <w:tcW w:w="0" w:type="auto"/>
            <w:shd w:val="clear" w:color="auto" w:fill="FFFFFF" w:themeFill="background1"/>
            <w:tcMar>
              <w:left w:w="108" w:type="dxa"/>
              <w:right w:w="108" w:type="dxa"/>
            </w:tcMar>
          </w:tcPr>
          <w:p w14:paraId="216E0BFD" w14:textId="297E1D14" w:rsidR="006A15B1" w:rsidRDefault="006A15B1" w:rsidP="006A15B1">
            <w:pPr>
              <w:pStyle w:val="TableText0"/>
            </w:pPr>
            <w:r w:rsidRPr="00325B0D">
              <w:rPr>
                <w:rFonts w:cs="Arial"/>
                <w:sz w:val="20"/>
                <w:szCs w:val="20"/>
              </w:rPr>
              <w:t>Lechner &amp; Knapp 2011</w:t>
            </w:r>
          </w:p>
        </w:tc>
        <w:tc>
          <w:tcPr>
            <w:tcW w:w="0" w:type="auto"/>
            <w:shd w:val="clear" w:color="auto" w:fill="FFFFFF" w:themeFill="background1"/>
          </w:tcPr>
          <w:p w14:paraId="15CEAFA5" w14:textId="1B3485F8" w:rsidR="006A15B1" w:rsidRPr="00325B0D" w:rsidRDefault="006A15B1" w:rsidP="006A15B1">
            <w:pPr>
              <w:pStyle w:val="TableText0"/>
              <w:rPr>
                <w:rFonts w:cstheme="minorHAnsi"/>
                <w:sz w:val="20"/>
                <w:szCs w:val="20"/>
              </w:rPr>
            </w:pPr>
            <w:r w:rsidRPr="00325B0D">
              <w:rPr>
                <w:rFonts w:cs="Arial"/>
                <w:sz w:val="20"/>
                <w:szCs w:val="20"/>
              </w:rPr>
              <w:t>NR</w:t>
            </w:r>
          </w:p>
        </w:tc>
        <w:tc>
          <w:tcPr>
            <w:tcW w:w="1326" w:type="dxa"/>
            <w:shd w:val="clear" w:color="auto" w:fill="FFFFFF" w:themeFill="background1"/>
          </w:tcPr>
          <w:p w14:paraId="599D4ECF" w14:textId="56806AC7" w:rsidR="006A15B1" w:rsidRPr="00325B0D" w:rsidRDefault="008950CA" w:rsidP="006A15B1">
            <w:pPr>
              <w:pStyle w:val="TableText0"/>
              <w:rPr>
                <w:rFonts w:cs="Arial"/>
                <w:sz w:val="20"/>
                <w:szCs w:val="20"/>
              </w:rPr>
            </w:pPr>
            <w:r>
              <w:rPr>
                <w:rFonts w:cs="Arial"/>
                <w:sz w:val="20"/>
                <w:szCs w:val="20"/>
              </w:rPr>
              <w:t>0.01</w:t>
            </w:r>
          </w:p>
        </w:tc>
      </w:tr>
      <w:tr w:rsidR="006E6194" w14:paraId="190453B8" w14:textId="77777777" w:rsidTr="009B3E18">
        <w:tc>
          <w:tcPr>
            <w:tcW w:w="0" w:type="auto"/>
            <w:vMerge/>
          </w:tcPr>
          <w:p w14:paraId="0A888C83" w14:textId="77777777" w:rsidR="00ED05DE" w:rsidRDefault="00ED05DE" w:rsidP="00ED05DE">
            <w:pPr>
              <w:pStyle w:val="TableText0"/>
            </w:pPr>
          </w:p>
        </w:tc>
        <w:tc>
          <w:tcPr>
            <w:tcW w:w="0" w:type="auto"/>
            <w:shd w:val="clear" w:color="auto" w:fill="FFFFFF" w:themeFill="background1"/>
            <w:tcMar>
              <w:left w:w="108" w:type="dxa"/>
              <w:right w:w="108" w:type="dxa"/>
            </w:tcMar>
          </w:tcPr>
          <w:p w14:paraId="33833B38" w14:textId="61B00734" w:rsidR="00ED05DE" w:rsidRPr="00325B0D" w:rsidRDefault="00ED05DE" w:rsidP="00ED05DE">
            <w:pPr>
              <w:pStyle w:val="TableText0"/>
              <w:rPr>
                <w:rFonts w:cs="Arial"/>
                <w:sz w:val="20"/>
                <w:szCs w:val="20"/>
              </w:rPr>
            </w:pPr>
            <w:r w:rsidRPr="00325B0D">
              <w:rPr>
                <w:rFonts w:cs="Arial"/>
                <w:sz w:val="20"/>
                <w:szCs w:val="20"/>
              </w:rPr>
              <w:t>Potato peel</w:t>
            </w:r>
          </w:p>
        </w:tc>
        <w:tc>
          <w:tcPr>
            <w:tcW w:w="0" w:type="auto"/>
            <w:shd w:val="clear" w:color="auto" w:fill="FFFFFF" w:themeFill="background1"/>
            <w:tcMar>
              <w:left w:w="108" w:type="dxa"/>
              <w:right w:w="108" w:type="dxa"/>
            </w:tcMar>
          </w:tcPr>
          <w:p w14:paraId="4C83A953" w14:textId="39114383" w:rsidR="00ED05DE" w:rsidRPr="00325B0D" w:rsidRDefault="00ED05DE" w:rsidP="00ED05DE">
            <w:pPr>
              <w:pStyle w:val="TableText0"/>
              <w:rPr>
                <w:rFonts w:cs="Arial"/>
                <w:sz w:val="20"/>
                <w:szCs w:val="20"/>
              </w:rPr>
            </w:pPr>
            <w:r w:rsidRPr="00325B0D">
              <w:rPr>
                <w:rFonts w:cs="Arial"/>
                <w:sz w:val="20"/>
                <w:szCs w:val="20"/>
              </w:rPr>
              <w:t>0.002 – 0.008</w:t>
            </w:r>
          </w:p>
        </w:tc>
        <w:tc>
          <w:tcPr>
            <w:tcW w:w="0" w:type="auto"/>
            <w:shd w:val="clear" w:color="auto" w:fill="FFFFFF" w:themeFill="background1"/>
            <w:tcMar>
              <w:left w:w="108" w:type="dxa"/>
              <w:right w:w="108" w:type="dxa"/>
            </w:tcMar>
          </w:tcPr>
          <w:p w14:paraId="7203AC67" w14:textId="6657C876" w:rsidR="00ED05DE" w:rsidRPr="00325B0D" w:rsidRDefault="00ED05DE" w:rsidP="00ED05DE">
            <w:pPr>
              <w:pStyle w:val="TableText0"/>
              <w:rPr>
                <w:rFonts w:cs="Arial"/>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11F9EC73" w14:textId="50B248D5" w:rsidR="00ED05DE" w:rsidRPr="00325B0D" w:rsidRDefault="00ED05DE" w:rsidP="00ED05DE">
            <w:pPr>
              <w:pStyle w:val="TableText0"/>
              <w:rPr>
                <w:rFonts w:cs="Arial"/>
                <w:sz w:val="20"/>
                <w:szCs w:val="20"/>
              </w:rPr>
            </w:pPr>
            <w:r w:rsidRPr="00325B0D">
              <w:rPr>
                <w:rFonts w:cs="Arial"/>
                <w:sz w:val="20"/>
                <w:szCs w:val="20"/>
              </w:rPr>
              <w:t>Stahl et al. 2009</w:t>
            </w:r>
          </w:p>
        </w:tc>
        <w:tc>
          <w:tcPr>
            <w:tcW w:w="0" w:type="auto"/>
            <w:shd w:val="clear" w:color="auto" w:fill="FFFFFF" w:themeFill="background1"/>
          </w:tcPr>
          <w:p w14:paraId="3BF0A329" w14:textId="01DBF94E" w:rsidR="00ED05DE" w:rsidRPr="00325B0D" w:rsidRDefault="00ED05DE" w:rsidP="00ED05DE">
            <w:pPr>
              <w:pStyle w:val="TableText0"/>
              <w:rPr>
                <w:rFonts w:cs="Arial"/>
                <w:sz w:val="20"/>
                <w:szCs w:val="20"/>
              </w:rPr>
            </w:pPr>
            <w:r w:rsidRPr="00325B0D">
              <w:rPr>
                <w:rFonts w:cs="Arial"/>
                <w:sz w:val="20"/>
                <w:szCs w:val="20"/>
              </w:rPr>
              <w:t>79</w:t>
            </w:r>
          </w:p>
        </w:tc>
        <w:tc>
          <w:tcPr>
            <w:tcW w:w="1326" w:type="dxa"/>
            <w:shd w:val="clear" w:color="auto" w:fill="FFFFFF" w:themeFill="background1"/>
          </w:tcPr>
          <w:p w14:paraId="19B03C41" w14:textId="2524264D" w:rsidR="00ED05DE" w:rsidRDefault="00ED05DE" w:rsidP="00ED05DE">
            <w:pPr>
              <w:pStyle w:val="TableText0"/>
              <w:rPr>
                <w:rFonts w:cs="Arial"/>
                <w:sz w:val="20"/>
                <w:szCs w:val="20"/>
              </w:rPr>
            </w:pPr>
            <w:r>
              <w:rPr>
                <w:rFonts w:cs="Arial"/>
                <w:sz w:val="20"/>
                <w:szCs w:val="20"/>
              </w:rPr>
              <w:t>0.002</w:t>
            </w:r>
          </w:p>
        </w:tc>
      </w:tr>
      <w:tr w:rsidR="006E6194" w14:paraId="2916E29D" w14:textId="02E53B7C" w:rsidTr="009B3E18">
        <w:tc>
          <w:tcPr>
            <w:tcW w:w="0" w:type="auto"/>
            <w:vMerge/>
          </w:tcPr>
          <w:p w14:paraId="0536D0E1" w14:textId="77777777" w:rsidR="00ED05DE" w:rsidRDefault="00ED05DE" w:rsidP="00ED05DE">
            <w:pPr>
              <w:pStyle w:val="TableText0"/>
            </w:pPr>
          </w:p>
        </w:tc>
        <w:tc>
          <w:tcPr>
            <w:tcW w:w="0" w:type="auto"/>
            <w:shd w:val="clear" w:color="auto" w:fill="FFFFFF" w:themeFill="background1"/>
            <w:tcMar>
              <w:left w:w="108" w:type="dxa"/>
              <w:right w:w="108" w:type="dxa"/>
            </w:tcMar>
          </w:tcPr>
          <w:p w14:paraId="22F7EF74" w14:textId="49042F52" w:rsidR="00ED05DE" w:rsidRPr="00325B0D" w:rsidRDefault="00ED05DE" w:rsidP="00ED05DE">
            <w:pPr>
              <w:pStyle w:val="TableText0"/>
              <w:rPr>
                <w:rFonts w:cstheme="minorHAnsi"/>
                <w:sz w:val="20"/>
                <w:szCs w:val="20"/>
              </w:rPr>
            </w:pPr>
            <w:r w:rsidRPr="00325B0D">
              <w:rPr>
                <w:rFonts w:cs="Arial"/>
                <w:sz w:val="20"/>
                <w:szCs w:val="20"/>
              </w:rPr>
              <w:t>Peeled potato</w:t>
            </w:r>
          </w:p>
        </w:tc>
        <w:tc>
          <w:tcPr>
            <w:tcW w:w="0" w:type="auto"/>
            <w:shd w:val="clear" w:color="auto" w:fill="FFFFFF" w:themeFill="background1"/>
            <w:tcMar>
              <w:left w:w="108" w:type="dxa"/>
              <w:right w:w="108" w:type="dxa"/>
            </w:tcMar>
          </w:tcPr>
          <w:p w14:paraId="1CA9F2F5" w14:textId="4098276B" w:rsidR="00ED05DE" w:rsidRPr="00325B0D" w:rsidRDefault="00ED05DE" w:rsidP="00ED05DE">
            <w:pPr>
              <w:pStyle w:val="TableText0"/>
              <w:rPr>
                <w:rFonts w:cstheme="minorHAnsi"/>
                <w:sz w:val="20"/>
                <w:szCs w:val="20"/>
              </w:rPr>
            </w:pPr>
            <w:r w:rsidRPr="00325B0D">
              <w:rPr>
                <w:rFonts w:cs="Arial"/>
                <w:sz w:val="20"/>
                <w:szCs w:val="20"/>
              </w:rPr>
              <w:t>0.0007 – 0.001</w:t>
            </w:r>
          </w:p>
        </w:tc>
        <w:tc>
          <w:tcPr>
            <w:tcW w:w="0" w:type="auto"/>
            <w:shd w:val="clear" w:color="auto" w:fill="FFFFFF" w:themeFill="background1"/>
            <w:tcMar>
              <w:left w:w="108" w:type="dxa"/>
              <w:right w:w="108" w:type="dxa"/>
            </w:tcMar>
          </w:tcPr>
          <w:p w14:paraId="3EDA7539" w14:textId="282D0A6A" w:rsidR="00ED05DE" w:rsidRPr="00325B0D" w:rsidRDefault="00ED05DE" w:rsidP="00ED05DE">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5DCFEBD7" w14:textId="62F5567A" w:rsidR="00ED05DE" w:rsidRPr="00325B0D" w:rsidRDefault="00ED05DE" w:rsidP="00ED05DE">
            <w:pPr>
              <w:pStyle w:val="TableText0"/>
              <w:rPr>
                <w:rFonts w:cstheme="minorHAnsi"/>
                <w:sz w:val="20"/>
                <w:szCs w:val="20"/>
              </w:rPr>
            </w:pPr>
            <w:r w:rsidRPr="00325B0D">
              <w:rPr>
                <w:rFonts w:cs="Arial"/>
                <w:sz w:val="20"/>
                <w:szCs w:val="20"/>
              </w:rPr>
              <w:t>Stahl et al. 2009</w:t>
            </w:r>
          </w:p>
        </w:tc>
        <w:tc>
          <w:tcPr>
            <w:tcW w:w="0" w:type="auto"/>
            <w:shd w:val="clear" w:color="auto" w:fill="FFFFFF" w:themeFill="background1"/>
          </w:tcPr>
          <w:p w14:paraId="0C9772AC" w14:textId="6EF7DFED" w:rsidR="00ED05DE" w:rsidRPr="00325B0D" w:rsidRDefault="00ED05DE" w:rsidP="00ED05DE">
            <w:pPr>
              <w:pStyle w:val="TableText0"/>
              <w:rPr>
                <w:rFonts w:cstheme="minorHAnsi"/>
                <w:sz w:val="20"/>
                <w:szCs w:val="20"/>
              </w:rPr>
            </w:pPr>
            <w:r w:rsidRPr="00325B0D">
              <w:rPr>
                <w:rFonts w:cs="Arial"/>
                <w:sz w:val="20"/>
                <w:szCs w:val="20"/>
              </w:rPr>
              <w:t>79</w:t>
            </w:r>
          </w:p>
        </w:tc>
        <w:tc>
          <w:tcPr>
            <w:tcW w:w="1326" w:type="dxa"/>
            <w:shd w:val="clear" w:color="auto" w:fill="FFFFFF" w:themeFill="background1"/>
          </w:tcPr>
          <w:p w14:paraId="2F27C72F" w14:textId="39EF84D6" w:rsidR="00ED05DE" w:rsidRPr="00325B0D" w:rsidRDefault="00ED05DE" w:rsidP="00ED05DE">
            <w:pPr>
              <w:pStyle w:val="TableText0"/>
              <w:rPr>
                <w:rFonts w:cs="Arial"/>
                <w:sz w:val="20"/>
                <w:szCs w:val="20"/>
              </w:rPr>
            </w:pPr>
            <w:r>
              <w:rPr>
                <w:rFonts w:cs="Arial"/>
                <w:sz w:val="20"/>
                <w:szCs w:val="20"/>
              </w:rPr>
              <w:t>0.0002</w:t>
            </w:r>
          </w:p>
        </w:tc>
      </w:tr>
      <w:tr w:rsidR="006E6194" w14:paraId="6727C305" w14:textId="098673E5" w:rsidTr="009B3E18">
        <w:tc>
          <w:tcPr>
            <w:tcW w:w="0" w:type="auto"/>
            <w:vMerge w:val="restart"/>
          </w:tcPr>
          <w:p w14:paraId="069925A6" w14:textId="4CAB4496" w:rsidR="00ED05DE" w:rsidRDefault="00ED05DE" w:rsidP="00ED05DE">
            <w:pPr>
              <w:pStyle w:val="TableText0"/>
            </w:pPr>
            <w:r>
              <w:t>Fruit</w:t>
            </w:r>
          </w:p>
        </w:tc>
        <w:tc>
          <w:tcPr>
            <w:tcW w:w="0" w:type="auto"/>
            <w:shd w:val="clear" w:color="auto" w:fill="FFFFFF" w:themeFill="background1"/>
            <w:tcMar>
              <w:left w:w="108" w:type="dxa"/>
              <w:right w:w="108" w:type="dxa"/>
            </w:tcMar>
          </w:tcPr>
          <w:p w14:paraId="3C46065B" w14:textId="365688F4" w:rsidR="00ED05DE" w:rsidRPr="00C96EE9" w:rsidRDefault="00ED05DE" w:rsidP="00ED05DE">
            <w:pPr>
              <w:pStyle w:val="TableText0"/>
              <w:rPr>
                <w:rFonts w:cstheme="minorHAnsi"/>
                <w:b/>
                <w:bCs/>
                <w:sz w:val="20"/>
                <w:szCs w:val="20"/>
              </w:rPr>
            </w:pPr>
            <w:r w:rsidRPr="00C96EE9">
              <w:rPr>
                <w:rFonts w:cs="Arial"/>
                <w:b/>
                <w:bCs/>
                <w:sz w:val="20"/>
                <w:szCs w:val="20"/>
              </w:rPr>
              <w:t xml:space="preserve">Tomato </w:t>
            </w:r>
            <w:r w:rsidR="00FE1CA5" w:rsidRPr="00C535CF">
              <w:rPr>
                <w:b/>
                <w:bCs/>
                <w:sz w:val="20"/>
                <w:szCs w:val="20"/>
                <w:vertAlign w:val="superscript"/>
              </w:rPr>
              <w:t>d</w:t>
            </w:r>
          </w:p>
        </w:tc>
        <w:tc>
          <w:tcPr>
            <w:tcW w:w="0" w:type="auto"/>
            <w:shd w:val="clear" w:color="auto" w:fill="FFFFFF" w:themeFill="background1"/>
            <w:tcMar>
              <w:left w:w="108" w:type="dxa"/>
              <w:right w:w="108" w:type="dxa"/>
            </w:tcMar>
          </w:tcPr>
          <w:p w14:paraId="656E9B9C" w14:textId="6D4597F5" w:rsidR="00ED05DE" w:rsidRPr="00C96EE9" w:rsidRDefault="00ED05DE" w:rsidP="00ED05DE">
            <w:pPr>
              <w:pStyle w:val="TableText0"/>
              <w:rPr>
                <w:rFonts w:cstheme="minorHAnsi"/>
                <w:b/>
                <w:bCs/>
                <w:sz w:val="20"/>
                <w:szCs w:val="20"/>
              </w:rPr>
            </w:pPr>
            <w:r w:rsidRPr="00C96EE9">
              <w:rPr>
                <w:rFonts w:cs="Arial"/>
                <w:b/>
                <w:bCs/>
                <w:sz w:val="20"/>
                <w:szCs w:val="20"/>
              </w:rPr>
              <w:t>0.65</w:t>
            </w:r>
          </w:p>
        </w:tc>
        <w:tc>
          <w:tcPr>
            <w:tcW w:w="0" w:type="auto"/>
            <w:shd w:val="clear" w:color="auto" w:fill="FFFFFF" w:themeFill="background1"/>
            <w:tcMar>
              <w:left w:w="108" w:type="dxa"/>
              <w:right w:w="108" w:type="dxa"/>
            </w:tcMar>
          </w:tcPr>
          <w:p w14:paraId="5F54A59B" w14:textId="327E0C3A" w:rsidR="00ED05DE" w:rsidRPr="00C96EE9" w:rsidRDefault="00ED05DE" w:rsidP="00ED05DE">
            <w:pPr>
              <w:pStyle w:val="TableText0"/>
              <w:rPr>
                <w:rFonts w:cstheme="minorHAnsi"/>
                <w:b/>
                <w:bCs/>
                <w:sz w:val="20"/>
                <w:szCs w:val="20"/>
              </w:rPr>
            </w:pPr>
            <w:r w:rsidRPr="00C96EE9">
              <w:rPr>
                <w:rFonts w:cs="Arial"/>
                <w:b/>
                <w:bCs/>
                <w:sz w:val="20"/>
                <w:szCs w:val="20"/>
              </w:rPr>
              <w:t>DW</w:t>
            </w:r>
          </w:p>
        </w:tc>
        <w:tc>
          <w:tcPr>
            <w:tcW w:w="0" w:type="auto"/>
            <w:shd w:val="clear" w:color="auto" w:fill="FFFFFF" w:themeFill="background1"/>
            <w:tcMar>
              <w:left w:w="108" w:type="dxa"/>
              <w:right w:w="108" w:type="dxa"/>
            </w:tcMar>
          </w:tcPr>
          <w:p w14:paraId="4D6227C4" w14:textId="4997C9BE" w:rsidR="00ED05DE" w:rsidRPr="00C96EE9" w:rsidRDefault="00ED05DE" w:rsidP="00ED05DE">
            <w:pPr>
              <w:pStyle w:val="TableText0"/>
              <w:rPr>
                <w:rFonts w:cstheme="minorHAnsi"/>
                <w:b/>
                <w:bCs/>
                <w:sz w:val="20"/>
                <w:szCs w:val="20"/>
              </w:rPr>
            </w:pPr>
            <w:r w:rsidRPr="00C96EE9">
              <w:rPr>
                <w:rFonts w:cs="Arial"/>
                <w:b/>
                <w:bCs/>
                <w:sz w:val="20"/>
                <w:szCs w:val="20"/>
              </w:rPr>
              <w:t>Bao et al. 2020</w:t>
            </w:r>
          </w:p>
        </w:tc>
        <w:tc>
          <w:tcPr>
            <w:tcW w:w="0" w:type="auto"/>
            <w:shd w:val="clear" w:color="auto" w:fill="FFFFFF" w:themeFill="background1"/>
          </w:tcPr>
          <w:p w14:paraId="499C58BA" w14:textId="6A75A4E0" w:rsidR="00ED05DE" w:rsidRPr="00C96EE9" w:rsidRDefault="00ED05DE" w:rsidP="00ED05DE">
            <w:pPr>
              <w:pStyle w:val="TableText0"/>
              <w:rPr>
                <w:rFonts w:cstheme="minorHAnsi"/>
                <w:b/>
                <w:bCs/>
                <w:sz w:val="20"/>
                <w:szCs w:val="20"/>
              </w:rPr>
            </w:pPr>
            <w:r w:rsidRPr="00C96EE9">
              <w:rPr>
                <w:rFonts w:cs="Arial"/>
                <w:b/>
                <w:bCs/>
                <w:sz w:val="20"/>
                <w:szCs w:val="20"/>
              </w:rPr>
              <w:t>94</w:t>
            </w:r>
          </w:p>
        </w:tc>
        <w:tc>
          <w:tcPr>
            <w:tcW w:w="1326" w:type="dxa"/>
            <w:shd w:val="clear" w:color="auto" w:fill="FFFFFF" w:themeFill="background1"/>
          </w:tcPr>
          <w:p w14:paraId="0618DDA7" w14:textId="679708D1" w:rsidR="00ED05DE" w:rsidRPr="00C96EE9" w:rsidRDefault="00ED05DE" w:rsidP="00ED05DE">
            <w:pPr>
              <w:pStyle w:val="TableText0"/>
              <w:rPr>
                <w:rFonts w:cs="Arial"/>
                <w:b/>
                <w:bCs/>
                <w:sz w:val="20"/>
                <w:szCs w:val="20"/>
              </w:rPr>
            </w:pPr>
            <w:r>
              <w:rPr>
                <w:rFonts w:cs="Arial"/>
                <w:b/>
                <w:bCs/>
                <w:sz w:val="20"/>
                <w:szCs w:val="20"/>
              </w:rPr>
              <w:t>0.039</w:t>
            </w:r>
          </w:p>
        </w:tc>
      </w:tr>
      <w:tr w:rsidR="006E6194" w14:paraId="2B95E4E7" w14:textId="02FC11C2" w:rsidTr="009B3E18">
        <w:tc>
          <w:tcPr>
            <w:tcW w:w="0" w:type="auto"/>
            <w:vMerge/>
          </w:tcPr>
          <w:p w14:paraId="7B717932" w14:textId="77777777" w:rsidR="00ED05DE" w:rsidRDefault="00ED05DE" w:rsidP="00ED05DE">
            <w:pPr>
              <w:pStyle w:val="TableText0"/>
            </w:pPr>
          </w:p>
        </w:tc>
        <w:tc>
          <w:tcPr>
            <w:tcW w:w="0" w:type="auto"/>
            <w:shd w:val="clear" w:color="auto" w:fill="FFFFFF" w:themeFill="background1"/>
            <w:tcMar>
              <w:left w:w="108" w:type="dxa"/>
              <w:right w:w="108" w:type="dxa"/>
            </w:tcMar>
          </w:tcPr>
          <w:p w14:paraId="4B435FF6" w14:textId="30D0BACE" w:rsidR="00ED05DE" w:rsidRPr="00325B0D" w:rsidRDefault="00ED05DE" w:rsidP="00ED05DE">
            <w:pPr>
              <w:pStyle w:val="TableText0"/>
              <w:rPr>
                <w:rFonts w:cstheme="minorHAnsi"/>
                <w:sz w:val="20"/>
                <w:szCs w:val="20"/>
              </w:rPr>
            </w:pPr>
            <w:r w:rsidRPr="00325B0D">
              <w:rPr>
                <w:rFonts w:cs="Arial"/>
                <w:sz w:val="20"/>
                <w:szCs w:val="20"/>
              </w:rPr>
              <w:t xml:space="preserve">Cucumber </w:t>
            </w:r>
            <w:r w:rsidR="006239E3" w:rsidRPr="00C535CF">
              <w:rPr>
                <w:b/>
                <w:bCs/>
                <w:sz w:val="20"/>
                <w:szCs w:val="20"/>
                <w:vertAlign w:val="superscript"/>
              </w:rPr>
              <w:t>d</w:t>
            </w:r>
          </w:p>
        </w:tc>
        <w:tc>
          <w:tcPr>
            <w:tcW w:w="0" w:type="auto"/>
            <w:shd w:val="clear" w:color="auto" w:fill="FFFFFF" w:themeFill="background1"/>
            <w:tcMar>
              <w:left w:w="108" w:type="dxa"/>
              <w:right w:w="108" w:type="dxa"/>
            </w:tcMar>
          </w:tcPr>
          <w:p w14:paraId="72C53050" w14:textId="0596E135" w:rsidR="00ED05DE" w:rsidRPr="00325B0D" w:rsidRDefault="00ED05DE" w:rsidP="00ED05DE">
            <w:pPr>
              <w:pStyle w:val="TableText0"/>
              <w:rPr>
                <w:rFonts w:cstheme="minorHAnsi"/>
                <w:sz w:val="20"/>
                <w:szCs w:val="20"/>
              </w:rPr>
            </w:pPr>
            <w:r w:rsidRPr="00325B0D">
              <w:rPr>
                <w:rFonts w:cs="Arial"/>
                <w:sz w:val="20"/>
                <w:szCs w:val="20"/>
              </w:rPr>
              <w:t>0.93</w:t>
            </w:r>
          </w:p>
        </w:tc>
        <w:tc>
          <w:tcPr>
            <w:tcW w:w="0" w:type="auto"/>
            <w:shd w:val="clear" w:color="auto" w:fill="FFFFFF" w:themeFill="background1"/>
            <w:tcMar>
              <w:left w:w="108" w:type="dxa"/>
              <w:right w:w="108" w:type="dxa"/>
            </w:tcMar>
          </w:tcPr>
          <w:p w14:paraId="11DB6600" w14:textId="2B5454EC" w:rsidR="00ED05DE" w:rsidRPr="00325B0D" w:rsidRDefault="00ED05DE" w:rsidP="00ED05DE">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28E4C812" w14:textId="1524FDEF" w:rsidR="00ED05DE" w:rsidRPr="00325B0D" w:rsidRDefault="00ED05DE" w:rsidP="00ED05DE">
            <w:pPr>
              <w:pStyle w:val="TableText0"/>
              <w:rPr>
                <w:rFonts w:cstheme="minorHAnsi"/>
                <w:sz w:val="20"/>
                <w:szCs w:val="20"/>
              </w:rPr>
            </w:pPr>
            <w:r w:rsidRPr="00325B0D">
              <w:rPr>
                <w:rFonts w:cs="Arial"/>
                <w:sz w:val="20"/>
                <w:szCs w:val="20"/>
              </w:rPr>
              <w:t>Bao et al. 2020</w:t>
            </w:r>
          </w:p>
        </w:tc>
        <w:tc>
          <w:tcPr>
            <w:tcW w:w="0" w:type="auto"/>
            <w:shd w:val="clear" w:color="auto" w:fill="FFFFFF" w:themeFill="background1"/>
          </w:tcPr>
          <w:p w14:paraId="6BDC2B9C" w14:textId="5BF5CB34" w:rsidR="00ED05DE" w:rsidRPr="00325B0D" w:rsidRDefault="00ED05DE" w:rsidP="00ED05DE">
            <w:pPr>
              <w:pStyle w:val="TableText0"/>
              <w:rPr>
                <w:rFonts w:cstheme="minorHAnsi"/>
                <w:sz w:val="20"/>
                <w:szCs w:val="20"/>
              </w:rPr>
            </w:pPr>
            <w:r w:rsidRPr="00325B0D">
              <w:rPr>
                <w:rFonts w:cs="Arial"/>
                <w:sz w:val="20"/>
                <w:szCs w:val="20"/>
              </w:rPr>
              <w:t>96</w:t>
            </w:r>
          </w:p>
        </w:tc>
        <w:tc>
          <w:tcPr>
            <w:tcW w:w="1326" w:type="dxa"/>
            <w:shd w:val="clear" w:color="auto" w:fill="FFFFFF" w:themeFill="background1"/>
          </w:tcPr>
          <w:p w14:paraId="1B41FAE6" w14:textId="476D01AD" w:rsidR="00ED05DE" w:rsidRPr="00325B0D" w:rsidRDefault="00ED05DE" w:rsidP="00ED05DE">
            <w:pPr>
              <w:pStyle w:val="TableText0"/>
              <w:rPr>
                <w:rFonts w:cs="Arial"/>
                <w:sz w:val="20"/>
                <w:szCs w:val="20"/>
              </w:rPr>
            </w:pPr>
            <w:r>
              <w:rPr>
                <w:rFonts w:cs="Arial"/>
                <w:sz w:val="20"/>
                <w:szCs w:val="20"/>
              </w:rPr>
              <w:t>0.037</w:t>
            </w:r>
          </w:p>
        </w:tc>
      </w:tr>
      <w:tr w:rsidR="006E6194" w14:paraId="0939BEA1" w14:textId="4D42FE9B" w:rsidTr="009B3E18">
        <w:tc>
          <w:tcPr>
            <w:tcW w:w="0" w:type="auto"/>
            <w:vMerge/>
          </w:tcPr>
          <w:p w14:paraId="307B41B8" w14:textId="77777777" w:rsidR="00ED05DE" w:rsidRDefault="00ED05DE" w:rsidP="00ED05DE">
            <w:pPr>
              <w:pStyle w:val="TableText0"/>
            </w:pPr>
          </w:p>
        </w:tc>
        <w:tc>
          <w:tcPr>
            <w:tcW w:w="0" w:type="auto"/>
            <w:shd w:val="clear" w:color="auto" w:fill="FFFFFF" w:themeFill="background1"/>
            <w:tcMar>
              <w:left w:w="108" w:type="dxa"/>
              <w:right w:w="108" w:type="dxa"/>
            </w:tcMar>
          </w:tcPr>
          <w:p w14:paraId="0394F47B" w14:textId="22B364E8" w:rsidR="00ED05DE" w:rsidRPr="00325B0D" w:rsidRDefault="00ED05DE" w:rsidP="00ED05DE">
            <w:pPr>
              <w:pStyle w:val="TableText0"/>
              <w:rPr>
                <w:rFonts w:cstheme="minorHAnsi"/>
                <w:sz w:val="20"/>
                <w:szCs w:val="20"/>
              </w:rPr>
            </w:pPr>
            <w:r w:rsidRPr="00325B0D">
              <w:rPr>
                <w:rFonts w:cs="Arial"/>
                <w:sz w:val="20"/>
                <w:szCs w:val="20"/>
              </w:rPr>
              <w:t>Cucumber</w:t>
            </w:r>
          </w:p>
        </w:tc>
        <w:tc>
          <w:tcPr>
            <w:tcW w:w="0" w:type="auto"/>
            <w:shd w:val="clear" w:color="auto" w:fill="FFFFFF" w:themeFill="background1"/>
            <w:tcMar>
              <w:left w:w="108" w:type="dxa"/>
              <w:right w:w="108" w:type="dxa"/>
            </w:tcMar>
          </w:tcPr>
          <w:p w14:paraId="0473D4D9" w14:textId="581DA554" w:rsidR="00ED05DE" w:rsidRPr="00325B0D" w:rsidRDefault="00ED05DE" w:rsidP="00ED05DE">
            <w:pPr>
              <w:pStyle w:val="TableText0"/>
              <w:rPr>
                <w:rFonts w:cstheme="minorHAnsi"/>
                <w:sz w:val="20"/>
                <w:szCs w:val="20"/>
              </w:rPr>
            </w:pPr>
            <w:r w:rsidRPr="00325B0D">
              <w:rPr>
                <w:rFonts w:cs="Arial"/>
                <w:sz w:val="20"/>
                <w:szCs w:val="20"/>
              </w:rPr>
              <w:t>0.03</w:t>
            </w:r>
          </w:p>
        </w:tc>
        <w:tc>
          <w:tcPr>
            <w:tcW w:w="0" w:type="auto"/>
            <w:shd w:val="clear" w:color="auto" w:fill="FFFFFF" w:themeFill="background1"/>
            <w:tcMar>
              <w:left w:w="108" w:type="dxa"/>
              <w:right w:w="108" w:type="dxa"/>
            </w:tcMar>
          </w:tcPr>
          <w:p w14:paraId="6AB94B37" w14:textId="6ABE874F" w:rsidR="00ED05DE" w:rsidRPr="00325B0D" w:rsidRDefault="00ED05DE" w:rsidP="00ED05DE">
            <w:pPr>
              <w:pStyle w:val="TableText0"/>
              <w:rPr>
                <w:rFonts w:cstheme="minorHAnsi"/>
                <w:sz w:val="20"/>
                <w:szCs w:val="20"/>
              </w:rPr>
            </w:pPr>
            <w:r w:rsidRPr="00325B0D">
              <w:rPr>
                <w:rFonts w:cs="Arial"/>
                <w:sz w:val="20"/>
                <w:szCs w:val="20"/>
              </w:rPr>
              <w:t>WW</w:t>
            </w:r>
          </w:p>
        </w:tc>
        <w:tc>
          <w:tcPr>
            <w:tcW w:w="0" w:type="auto"/>
            <w:shd w:val="clear" w:color="auto" w:fill="FFFFFF" w:themeFill="background1"/>
            <w:tcMar>
              <w:left w:w="108" w:type="dxa"/>
              <w:right w:w="108" w:type="dxa"/>
            </w:tcMar>
          </w:tcPr>
          <w:p w14:paraId="61877AA2" w14:textId="53D1FCE2" w:rsidR="00ED05DE" w:rsidRPr="00325B0D" w:rsidRDefault="00ED05DE" w:rsidP="00ED05DE">
            <w:pPr>
              <w:pStyle w:val="TableText0"/>
              <w:rPr>
                <w:rFonts w:cstheme="minorHAnsi"/>
                <w:sz w:val="20"/>
                <w:szCs w:val="20"/>
              </w:rPr>
            </w:pPr>
            <w:r w:rsidRPr="00325B0D">
              <w:rPr>
                <w:rFonts w:cs="Arial"/>
                <w:sz w:val="20"/>
                <w:szCs w:val="20"/>
              </w:rPr>
              <w:t>Lechner &amp; Knapp 2011</w:t>
            </w:r>
          </w:p>
        </w:tc>
        <w:tc>
          <w:tcPr>
            <w:tcW w:w="0" w:type="auto"/>
            <w:shd w:val="clear" w:color="auto" w:fill="FFFFFF" w:themeFill="background1"/>
          </w:tcPr>
          <w:p w14:paraId="25788A25" w14:textId="4840A390" w:rsidR="00ED05DE" w:rsidRPr="00325B0D" w:rsidRDefault="00ED05DE" w:rsidP="00ED05DE">
            <w:pPr>
              <w:pStyle w:val="TableText0"/>
              <w:rPr>
                <w:rFonts w:cstheme="minorHAnsi"/>
                <w:sz w:val="20"/>
                <w:szCs w:val="20"/>
              </w:rPr>
            </w:pPr>
            <w:r w:rsidRPr="00325B0D">
              <w:rPr>
                <w:rFonts w:cs="Arial"/>
                <w:sz w:val="20"/>
                <w:szCs w:val="20"/>
              </w:rPr>
              <w:t>NR</w:t>
            </w:r>
          </w:p>
        </w:tc>
        <w:tc>
          <w:tcPr>
            <w:tcW w:w="1326" w:type="dxa"/>
            <w:shd w:val="clear" w:color="auto" w:fill="FFFFFF" w:themeFill="background1"/>
          </w:tcPr>
          <w:p w14:paraId="1E2E61DE" w14:textId="32861272" w:rsidR="00ED05DE" w:rsidRPr="00325B0D" w:rsidRDefault="00ED05DE" w:rsidP="00ED05DE">
            <w:pPr>
              <w:pStyle w:val="TableText0"/>
              <w:rPr>
                <w:rFonts w:cs="Arial"/>
                <w:sz w:val="20"/>
                <w:szCs w:val="20"/>
              </w:rPr>
            </w:pPr>
            <w:r>
              <w:rPr>
                <w:rFonts w:cs="Arial"/>
                <w:sz w:val="20"/>
                <w:szCs w:val="20"/>
              </w:rPr>
              <w:t>0.03</w:t>
            </w:r>
          </w:p>
        </w:tc>
      </w:tr>
      <w:tr w:rsidR="006E6194" w14:paraId="2460CBC4" w14:textId="746D4827" w:rsidTr="009B3E18">
        <w:tc>
          <w:tcPr>
            <w:tcW w:w="0" w:type="auto"/>
            <w:vMerge/>
          </w:tcPr>
          <w:p w14:paraId="0752D087" w14:textId="77777777" w:rsidR="00ED05DE" w:rsidRDefault="00ED05DE" w:rsidP="00ED05DE">
            <w:pPr>
              <w:pStyle w:val="TableText0"/>
            </w:pPr>
          </w:p>
        </w:tc>
        <w:tc>
          <w:tcPr>
            <w:tcW w:w="0" w:type="auto"/>
            <w:shd w:val="clear" w:color="auto" w:fill="FFFFFF" w:themeFill="background1"/>
            <w:tcMar>
              <w:left w:w="108" w:type="dxa"/>
              <w:right w:w="108" w:type="dxa"/>
            </w:tcMar>
          </w:tcPr>
          <w:p w14:paraId="0F167AB3" w14:textId="2424CDA7" w:rsidR="00ED05DE" w:rsidRPr="00325B0D" w:rsidRDefault="00ED05DE" w:rsidP="00ED05DE">
            <w:pPr>
              <w:pStyle w:val="TableText0"/>
              <w:rPr>
                <w:rFonts w:cstheme="minorHAnsi"/>
                <w:sz w:val="20"/>
                <w:szCs w:val="20"/>
              </w:rPr>
            </w:pPr>
            <w:r w:rsidRPr="00325B0D">
              <w:rPr>
                <w:rFonts w:cs="Arial"/>
                <w:sz w:val="20"/>
                <w:szCs w:val="20"/>
              </w:rPr>
              <w:t>Pea</w:t>
            </w:r>
          </w:p>
        </w:tc>
        <w:tc>
          <w:tcPr>
            <w:tcW w:w="0" w:type="auto"/>
            <w:shd w:val="clear" w:color="auto" w:fill="FFFFFF" w:themeFill="background1"/>
            <w:tcMar>
              <w:left w:w="108" w:type="dxa"/>
              <w:right w:w="108" w:type="dxa"/>
            </w:tcMar>
          </w:tcPr>
          <w:p w14:paraId="6C6DEC95" w14:textId="10CEE20C" w:rsidR="00ED05DE" w:rsidRPr="00325B0D" w:rsidRDefault="00ED05DE" w:rsidP="00ED05DE">
            <w:pPr>
              <w:pStyle w:val="TableText0"/>
              <w:rPr>
                <w:rFonts w:cstheme="minorHAnsi"/>
                <w:sz w:val="20"/>
                <w:szCs w:val="20"/>
              </w:rPr>
            </w:pPr>
            <w:r w:rsidRPr="00325B0D">
              <w:rPr>
                <w:rFonts w:cs="Arial"/>
                <w:sz w:val="20"/>
                <w:szCs w:val="20"/>
              </w:rPr>
              <w:t>0.03</w:t>
            </w:r>
          </w:p>
        </w:tc>
        <w:tc>
          <w:tcPr>
            <w:tcW w:w="0" w:type="auto"/>
            <w:shd w:val="clear" w:color="auto" w:fill="FFFFFF" w:themeFill="background1"/>
            <w:tcMar>
              <w:left w:w="108" w:type="dxa"/>
              <w:right w:w="108" w:type="dxa"/>
            </w:tcMar>
          </w:tcPr>
          <w:p w14:paraId="5019FBE0" w14:textId="25212692" w:rsidR="00ED05DE" w:rsidRPr="00325B0D" w:rsidRDefault="00ED05DE" w:rsidP="00ED05DE">
            <w:pPr>
              <w:pStyle w:val="TableText0"/>
              <w:rPr>
                <w:rFonts w:cstheme="minorHAnsi"/>
                <w:sz w:val="20"/>
                <w:szCs w:val="20"/>
              </w:rPr>
            </w:pPr>
            <w:r w:rsidRPr="00325B0D">
              <w:rPr>
                <w:rFonts w:cs="Arial"/>
                <w:sz w:val="20"/>
                <w:szCs w:val="20"/>
              </w:rPr>
              <w:t>DW</w:t>
            </w:r>
          </w:p>
        </w:tc>
        <w:tc>
          <w:tcPr>
            <w:tcW w:w="0" w:type="auto"/>
            <w:shd w:val="clear" w:color="auto" w:fill="FFFFFF" w:themeFill="background1"/>
            <w:tcMar>
              <w:left w:w="108" w:type="dxa"/>
              <w:right w:w="108" w:type="dxa"/>
            </w:tcMar>
          </w:tcPr>
          <w:p w14:paraId="0FE0A203" w14:textId="13AEA8C4" w:rsidR="00ED05DE" w:rsidRPr="00325B0D" w:rsidRDefault="00ED05DE" w:rsidP="00ED05DE">
            <w:pPr>
              <w:pStyle w:val="TableText0"/>
              <w:rPr>
                <w:rFonts w:cstheme="minorHAnsi"/>
                <w:sz w:val="20"/>
                <w:szCs w:val="20"/>
              </w:rPr>
            </w:pPr>
            <w:r w:rsidRPr="00325B0D">
              <w:rPr>
                <w:rFonts w:cs="Arial"/>
                <w:sz w:val="20"/>
                <w:szCs w:val="20"/>
              </w:rPr>
              <w:t>Blaine et al. 2014</w:t>
            </w:r>
          </w:p>
        </w:tc>
        <w:tc>
          <w:tcPr>
            <w:tcW w:w="0" w:type="auto"/>
            <w:shd w:val="clear" w:color="auto" w:fill="FFFFFF" w:themeFill="background1"/>
          </w:tcPr>
          <w:p w14:paraId="37B3F434" w14:textId="529B3339" w:rsidR="00ED05DE" w:rsidRPr="00325B0D" w:rsidRDefault="00ED05DE" w:rsidP="00ED05DE">
            <w:pPr>
              <w:pStyle w:val="TableText0"/>
              <w:rPr>
                <w:rFonts w:cstheme="minorHAnsi"/>
                <w:sz w:val="20"/>
                <w:szCs w:val="20"/>
              </w:rPr>
            </w:pPr>
            <w:r w:rsidRPr="00325B0D">
              <w:rPr>
                <w:rFonts w:cs="Arial"/>
                <w:sz w:val="20"/>
                <w:szCs w:val="20"/>
              </w:rPr>
              <w:t>82</w:t>
            </w:r>
          </w:p>
        </w:tc>
        <w:tc>
          <w:tcPr>
            <w:tcW w:w="1326" w:type="dxa"/>
            <w:shd w:val="clear" w:color="auto" w:fill="FFFFFF" w:themeFill="background1"/>
          </w:tcPr>
          <w:p w14:paraId="1F75FD73" w14:textId="0A147766" w:rsidR="00ED05DE" w:rsidRPr="00325B0D" w:rsidRDefault="00ED05DE" w:rsidP="00ED05DE">
            <w:pPr>
              <w:pStyle w:val="TableText0"/>
              <w:rPr>
                <w:rFonts w:cs="Arial"/>
                <w:sz w:val="20"/>
                <w:szCs w:val="20"/>
              </w:rPr>
            </w:pPr>
            <w:r>
              <w:rPr>
                <w:rFonts w:cs="Arial"/>
                <w:sz w:val="20"/>
                <w:szCs w:val="20"/>
              </w:rPr>
              <w:t>0.005</w:t>
            </w:r>
          </w:p>
        </w:tc>
      </w:tr>
    </w:tbl>
    <w:p w14:paraId="5B9195EE" w14:textId="49F3553B" w:rsidR="00F875E3" w:rsidRPr="00E22A08" w:rsidRDefault="00C96EE9" w:rsidP="00E22A08">
      <w:pPr>
        <w:pStyle w:val="Normalsmall"/>
        <w:spacing w:after="60"/>
        <w:rPr>
          <w:sz w:val="20"/>
          <w:szCs w:val="20"/>
          <w:lang w:eastAsia="ja-JP"/>
        </w:rPr>
      </w:pPr>
      <w:r w:rsidRPr="00E22A08">
        <w:rPr>
          <w:sz w:val="20"/>
          <w:szCs w:val="20"/>
          <w:lang w:eastAsia="ja-JP"/>
        </w:rPr>
        <w:t>Notes</w:t>
      </w:r>
    </w:p>
    <w:p w14:paraId="2E30A943" w14:textId="12ADDD1D" w:rsidR="002F1338" w:rsidRPr="00E22A08" w:rsidRDefault="002F1338" w:rsidP="00E22A08">
      <w:pPr>
        <w:pStyle w:val="Normalsmall"/>
        <w:spacing w:after="60"/>
        <w:rPr>
          <w:sz w:val="20"/>
          <w:szCs w:val="20"/>
        </w:rPr>
      </w:pPr>
      <w:r w:rsidRPr="00E22A08">
        <w:rPr>
          <w:b/>
          <w:sz w:val="20"/>
          <w:szCs w:val="20"/>
        </w:rPr>
        <w:t>Bold cells</w:t>
      </w:r>
      <w:r w:rsidRPr="00E22A08">
        <w:rPr>
          <w:sz w:val="20"/>
          <w:szCs w:val="20"/>
        </w:rPr>
        <w:t xml:space="preserve"> indicate appropriate TF for delivering a HIL A criterion</w:t>
      </w:r>
    </w:p>
    <w:p w14:paraId="33084A99" w14:textId="13C59F20" w:rsidR="00FE1CA5" w:rsidRPr="00E22A08" w:rsidRDefault="00FE1CA5" w:rsidP="00E22A08">
      <w:pPr>
        <w:pStyle w:val="Normalsmall"/>
        <w:spacing w:after="60"/>
        <w:rPr>
          <w:sz w:val="20"/>
          <w:szCs w:val="20"/>
        </w:rPr>
      </w:pPr>
      <w:r w:rsidRPr="00E22A08">
        <w:rPr>
          <w:sz w:val="20"/>
          <w:szCs w:val="20"/>
        </w:rPr>
        <w:t>DW = dry weight; WW = wet weight</w:t>
      </w:r>
    </w:p>
    <w:p w14:paraId="1F765330" w14:textId="3BEBF677" w:rsidR="00FE1CA5" w:rsidRPr="00E22A08" w:rsidRDefault="00FE1CA5" w:rsidP="00E22A08">
      <w:pPr>
        <w:pStyle w:val="Normalsmall"/>
        <w:spacing w:after="60"/>
        <w:rPr>
          <w:sz w:val="20"/>
          <w:szCs w:val="20"/>
        </w:rPr>
      </w:pPr>
      <w:r w:rsidRPr="00E22A08">
        <w:rPr>
          <w:sz w:val="20"/>
          <w:szCs w:val="20"/>
        </w:rPr>
        <w:t>NR = not required as plant concentrations on wet weight basis were available</w:t>
      </w:r>
    </w:p>
    <w:p w14:paraId="64EF3EE1" w14:textId="29CDF005" w:rsidR="00C96EE9" w:rsidRPr="00E22A08" w:rsidRDefault="004F35C7" w:rsidP="00E22A08">
      <w:pPr>
        <w:pStyle w:val="Normalsmall"/>
        <w:spacing w:after="60"/>
        <w:rPr>
          <w:sz w:val="20"/>
          <w:szCs w:val="20"/>
        </w:rPr>
      </w:pPr>
      <w:r w:rsidRPr="00E22A08">
        <w:rPr>
          <w:sz w:val="20"/>
          <w:szCs w:val="20"/>
          <w:vertAlign w:val="superscript"/>
        </w:rPr>
        <w:t>a</w:t>
      </w:r>
      <w:r w:rsidR="00C96EE9" w:rsidRPr="00E22A08">
        <w:rPr>
          <w:sz w:val="20"/>
          <w:szCs w:val="20"/>
          <w:vertAlign w:val="superscript"/>
        </w:rPr>
        <w:t xml:space="preserve"> </w:t>
      </w:r>
      <w:r w:rsidR="002D3C66" w:rsidRPr="002D3C66">
        <w:rPr>
          <w:sz w:val="20"/>
          <w:szCs w:val="20"/>
        </w:rPr>
        <w:t>Moisture contents from Gebhardt and Thomas 2002, except potato and chicory data from USDA 2018 and data from Blaine et al. (2014) where moisture content of produce was measured.</w:t>
      </w:r>
    </w:p>
    <w:p w14:paraId="494C2A50" w14:textId="17E389A3" w:rsidR="00C96EE9" w:rsidRPr="00E22A08" w:rsidRDefault="004F35C7" w:rsidP="00E22A08">
      <w:pPr>
        <w:pStyle w:val="Normalsmall"/>
        <w:spacing w:after="60"/>
        <w:rPr>
          <w:sz w:val="20"/>
          <w:szCs w:val="20"/>
        </w:rPr>
      </w:pPr>
      <w:r w:rsidRPr="00E22A08">
        <w:rPr>
          <w:sz w:val="20"/>
          <w:szCs w:val="20"/>
          <w:vertAlign w:val="superscript"/>
        </w:rPr>
        <w:t>b</w:t>
      </w:r>
      <w:r w:rsidR="00C96EE9" w:rsidRPr="00E22A08">
        <w:rPr>
          <w:sz w:val="20"/>
          <w:szCs w:val="20"/>
        </w:rPr>
        <w:t xml:space="preserve"> </w:t>
      </w:r>
      <w:r w:rsidR="00C96EE9" w:rsidRPr="00E22A08">
        <w:rPr>
          <w:rFonts w:cs="Arial"/>
          <w:sz w:val="20"/>
          <w:szCs w:val="20"/>
        </w:rPr>
        <w:t>TFs were recalculated from raw data for this report. A discrepancy in the studies’ reported TFs was found: the reported maximum DW TF in the paper was 2.3</w:t>
      </w:r>
      <w:r w:rsidR="00C96EE9" w:rsidRPr="00E22A08">
        <w:rPr>
          <w:sz w:val="20"/>
          <w:szCs w:val="20"/>
        </w:rPr>
        <w:t>.</w:t>
      </w:r>
    </w:p>
    <w:p w14:paraId="17198563" w14:textId="5CC0EB4B" w:rsidR="00C96EE9" w:rsidRPr="00E22A08" w:rsidRDefault="004F35C7" w:rsidP="00E22A08">
      <w:pPr>
        <w:pStyle w:val="Normalsmall"/>
        <w:spacing w:after="60"/>
        <w:rPr>
          <w:sz w:val="20"/>
          <w:szCs w:val="20"/>
        </w:rPr>
      </w:pPr>
      <w:r w:rsidRPr="00E22A08">
        <w:rPr>
          <w:sz w:val="20"/>
          <w:szCs w:val="20"/>
          <w:vertAlign w:val="superscript"/>
        </w:rPr>
        <w:t>c</w:t>
      </w:r>
      <w:r w:rsidR="00C96EE9" w:rsidRPr="00E22A08">
        <w:rPr>
          <w:sz w:val="20"/>
          <w:szCs w:val="20"/>
        </w:rPr>
        <w:t xml:space="preserve"> </w:t>
      </w:r>
      <w:r w:rsidR="00C96EE9" w:rsidRPr="00E22A08">
        <w:rPr>
          <w:rFonts w:cs="Arial"/>
          <w:sz w:val="20"/>
          <w:szCs w:val="20"/>
        </w:rPr>
        <w:t>TFs were recalculated from raw data for this report. A discrepancy in the reported TFs was found: the reported maximum DW TF in the paper was 3.1</w:t>
      </w:r>
      <w:r w:rsidR="00C96EE9" w:rsidRPr="00E22A08">
        <w:rPr>
          <w:sz w:val="20"/>
          <w:szCs w:val="20"/>
        </w:rPr>
        <w:t>.</w:t>
      </w:r>
    </w:p>
    <w:p w14:paraId="1F9BEB5B" w14:textId="65D5C983" w:rsidR="008950CA" w:rsidRPr="00E22A08" w:rsidRDefault="00FE1CA5" w:rsidP="00E22A08">
      <w:pPr>
        <w:pStyle w:val="Note"/>
        <w:spacing w:before="120"/>
        <w:rPr>
          <w:rFonts w:asciiTheme="majorHAnsi" w:hAnsiTheme="majorHAnsi"/>
          <w:sz w:val="20"/>
          <w:szCs w:val="20"/>
        </w:rPr>
      </w:pPr>
      <w:r w:rsidRPr="00E22A08">
        <w:rPr>
          <w:rFonts w:asciiTheme="majorHAnsi" w:hAnsiTheme="majorHAnsi"/>
          <w:sz w:val="20"/>
          <w:szCs w:val="20"/>
          <w:vertAlign w:val="superscript"/>
        </w:rPr>
        <w:t>d</w:t>
      </w:r>
      <w:r w:rsidR="008950CA" w:rsidRPr="00E22A08">
        <w:rPr>
          <w:rFonts w:asciiTheme="majorHAnsi" w:hAnsiTheme="majorHAnsi"/>
          <w:sz w:val="20"/>
          <w:szCs w:val="20"/>
        </w:rPr>
        <w:t xml:space="preserve"> Additional published literature and TFs since last review of PFOA TFs in OEH 2019.</w:t>
      </w:r>
    </w:p>
    <w:p w14:paraId="700F8CDD" w14:textId="77777777" w:rsidR="008950CA" w:rsidRDefault="008950CA" w:rsidP="00C96EE9">
      <w:pPr>
        <w:pStyle w:val="Normalsmall"/>
        <w:rPr>
          <w:sz w:val="20"/>
          <w:szCs w:val="20"/>
        </w:rPr>
      </w:pPr>
    </w:p>
    <w:p w14:paraId="44DA556D" w14:textId="77777777" w:rsidR="00725FA8" w:rsidRDefault="00725FA8" w:rsidP="00C96EE9">
      <w:pPr>
        <w:pStyle w:val="Normalsmall"/>
        <w:rPr>
          <w:sz w:val="20"/>
          <w:szCs w:val="20"/>
        </w:rPr>
      </w:pPr>
    </w:p>
    <w:p w14:paraId="59E82093" w14:textId="070BFEC2" w:rsidR="004F35C7" w:rsidRDefault="004F35C7" w:rsidP="004636DE">
      <w:pPr>
        <w:pStyle w:val="Heading2"/>
        <w:numPr>
          <w:ilvl w:val="0"/>
          <w:numId w:val="0"/>
        </w:numPr>
        <w:ind w:left="720"/>
      </w:pPr>
      <w:bookmarkStart w:id="45" w:name="_Appendix_B:_Sensitivity"/>
      <w:bookmarkStart w:id="46" w:name="_Toc112151562"/>
      <w:bookmarkEnd w:id="45"/>
      <w:r>
        <w:lastRenderedPageBreak/>
        <w:t>Appendix B: Sensitivity analysis for PFOS and PFOA</w:t>
      </w:r>
      <w:bookmarkEnd w:id="46"/>
    </w:p>
    <w:p w14:paraId="723908E1" w14:textId="77777777" w:rsidR="00725FA8" w:rsidRPr="00374133" w:rsidRDefault="00725FA8" w:rsidP="00725FA8">
      <w:pPr>
        <w:rPr>
          <w:sz w:val="8"/>
          <w:szCs w:val="8"/>
          <w:lang w:eastAsia="ja-JP"/>
        </w:rPr>
      </w:pPr>
    </w:p>
    <w:p w14:paraId="4C14666D" w14:textId="33015027" w:rsidR="004F35C7" w:rsidRDefault="0033168F" w:rsidP="004636DE">
      <w:pPr>
        <w:pStyle w:val="Heading3"/>
        <w:numPr>
          <w:ilvl w:val="0"/>
          <w:numId w:val="0"/>
        </w:numPr>
        <w:rPr>
          <w:lang w:eastAsia="ja-JP"/>
        </w:rPr>
      </w:pPr>
      <w:bookmarkStart w:id="47" w:name="_Toc112151563"/>
      <w:r>
        <w:rPr>
          <w:lang w:eastAsia="ja-JP"/>
        </w:rPr>
        <w:t xml:space="preserve">B.1 </w:t>
      </w:r>
      <w:r w:rsidR="004F35C7">
        <w:rPr>
          <w:lang w:eastAsia="ja-JP"/>
        </w:rPr>
        <w:t>PFOS</w:t>
      </w:r>
      <w:bookmarkEnd w:id="47"/>
    </w:p>
    <w:p w14:paraId="26F858E5" w14:textId="58D2F747" w:rsidR="004F35C7" w:rsidRDefault="004F35C7" w:rsidP="002F1338">
      <w:r w:rsidRPr="00FB4C04">
        <w:t xml:space="preserve">While transfer factors for PFOS + </w:t>
      </w:r>
      <w:proofErr w:type="spellStart"/>
      <w:r w:rsidRPr="00FB4C04">
        <w:t>PFHxS</w:t>
      </w:r>
      <w:proofErr w:type="spellEnd"/>
      <w:r w:rsidRPr="00FB4C04">
        <w:t xml:space="preserve"> were not under review for NEMP 3.0, the papers chosen for updated PFOA TFs were cross-checked for </w:t>
      </w:r>
      <w:r w:rsidRPr="0051503C">
        <w:t>PFOS</w:t>
      </w:r>
      <w:r>
        <w:t>.</w:t>
      </w:r>
      <w:r w:rsidRPr="0051503C">
        <w:t xml:space="preserve"> </w:t>
      </w:r>
      <w:r w:rsidRPr="001465AA">
        <w:t xml:space="preserve">Two papers, Bao et al. 2020 and </w:t>
      </w:r>
      <w:proofErr w:type="spellStart"/>
      <w:r w:rsidRPr="001465AA">
        <w:t>Lasee</w:t>
      </w:r>
      <w:proofErr w:type="spellEnd"/>
      <w:r w:rsidRPr="001465AA">
        <w:t xml:space="preserve"> et al. 2020, had higher PFOS TFs compared with TFs reported in OEH </w:t>
      </w:r>
      <w:r>
        <w:t>(</w:t>
      </w:r>
      <w:r w:rsidRPr="001465AA">
        <w:t>2019). To check how this will influence the HIL</w:t>
      </w:r>
      <w:r>
        <w:t xml:space="preserve"> </w:t>
      </w:r>
      <w:r w:rsidRPr="001465AA">
        <w:t xml:space="preserve">A value, </w:t>
      </w:r>
      <w:r>
        <w:t>NCWG</w:t>
      </w:r>
      <w:r w:rsidRPr="001465AA">
        <w:t xml:space="preserve"> calculated a combined PFOS + </w:t>
      </w:r>
      <w:proofErr w:type="spellStart"/>
      <w:r w:rsidRPr="001465AA">
        <w:t>PFHxS</w:t>
      </w:r>
      <w:proofErr w:type="spellEnd"/>
      <w:r w:rsidRPr="001465AA">
        <w:t xml:space="preserve"> TF (</w:t>
      </w:r>
      <w:r w:rsidRPr="00CE2AFC">
        <w:t xml:space="preserve">see </w:t>
      </w:r>
      <w:r w:rsidR="006E6194">
        <w:fldChar w:fldCharType="begin"/>
      </w:r>
      <w:r w:rsidR="006E6194">
        <w:instrText xml:space="preserve"> REF _Ref112679334 \h </w:instrText>
      </w:r>
      <w:r w:rsidR="006E6194">
        <w:fldChar w:fldCharType="separate"/>
      </w:r>
      <w:r w:rsidR="006E6194">
        <w:t>Table B</w:t>
      </w:r>
      <w:r w:rsidR="006E6194">
        <w:rPr>
          <w:noProof/>
        </w:rPr>
        <w:t>1</w:t>
      </w:r>
      <w:r w:rsidR="006E6194">
        <w:fldChar w:fldCharType="end"/>
      </w:r>
      <w:r w:rsidRPr="00CE2AFC">
        <w:t>)</w:t>
      </w:r>
      <w:r w:rsidRPr="001465AA">
        <w:t xml:space="preserve"> using the approach described in </w:t>
      </w:r>
      <w:hyperlink w:anchor="_Appendix_A_:" w:history="1">
        <w:r w:rsidRPr="00110CD0">
          <w:rPr>
            <w:rStyle w:val="Hyperlink"/>
          </w:rPr>
          <w:t>Appendix A</w:t>
        </w:r>
      </w:hyperlink>
      <w:r w:rsidRPr="00CE2AFC">
        <w:t>.</w:t>
      </w:r>
    </w:p>
    <w:p w14:paraId="20770B0E" w14:textId="42F101B9" w:rsidR="004F35C7" w:rsidRDefault="004F35C7" w:rsidP="002F1338">
      <w:r>
        <w:t xml:space="preserve">Using these updated TFs in the ASC NEPM HIL A calculator resulted in no change to the HIL A criteria listed in NEMP 2.0 after rounding (HIL A of 0.01 mg/kg in NEMP 2.0 and 0.009 mg/kg based on the updated TFs). Therefore, the combined PFOS + </w:t>
      </w:r>
      <w:proofErr w:type="spellStart"/>
      <w:r>
        <w:t>PFHxS</w:t>
      </w:r>
      <w:proofErr w:type="spellEnd"/>
      <w:r>
        <w:t xml:space="preserve"> HIL A criteria was retained in NEMP 3.0. </w:t>
      </w:r>
    </w:p>
    <w:p w14:paraId="2BA1DDDF" w14:textId="4AAE00EA" w:rsidR="00082F5D" w:rsidRPr="006E6194" w:rsidRDefault="006E6194" w:rsidP="006E6194">
      <w:pPr>
        <w:pStyle w:val="Caption"/>
      </w:pPr>
      <w:bookmarkStart w:id="48" w:name="_Ref112679334"/>
      <w:bookmarkStart w:id="49" w:name="_Toc112679565"/>
      <w:r>
        <w:t>Table B</w:t>
      </w:r>
      <w:r w:rsidR="008D7C8F">
        <w:fldChar w:fldCharType="begin"/>
      </w:r>
      <w:r w:rsidR="008D7C8F">
        <w:instrText xml:space="preserve"> SEQ Table_B \* ARABIC </w:instrText>
      </w:r>
      <w:r w:rsidR="008D7C8F">
        <w:fldChar w:fldCharType="separate"/>
      </w:r>
      <w:r>
        <w:rPr>
          <w:noProof/>
        </w:rPr>
        <w:t>1</w:t>
      </w:r>
      <w:r w:rsidR="008D7C8F">
        <w:rPr>
          <w:noProof/>
        </w:rPr>
        <w:fldChar w:fldCharType="end"/>
      </w:r>
      <w:bookmarkStart w:id="50" w:name="Table_9"/>
      <w:bookmarkEnd w:id="48"/>
      <w:r>
        <w:t xml:space="preserve"> </w:t>
      </w:r>
      <w:r w:rsidR="000C33E0" w:rsidRPr="003309ED">
        <w:t xml:space="preserve">Comparison of PFOS + </w:t>
      </w:r>
      <w:proofErr w:type="spellStart"/>
      <w:r w:rsidR="000C33E0" w:rsidRPr="003309ED">
        <w:t>PFHxS</w:t>
      </w:r>
      <w:proofErr w:type="spellEnd"/>
      <w:r w:rsidR="000C33E0" w:rsidRPr="003309ED">
        <w:t xml:space="preserve"> transfer factors for deriving a </w:t>
      </w:r>
      <w:proofErr w:type="gramStart"/>
      <w:r w:rsidR="000C33E0" w:rsidRPr="003309ED">
        <w:t>HIL A criteria</w:t>
      </w:r>
      <w:proofErr w:type="gramEnd"/>
      <w:r w:rsidR="000C33E0" w:rsidRPr="003309ED">
        <w:t xml:space="preserve"> based on TFs from OEH (2019) and TFs based on Bao et al. 2020 and </w:t>
      </w:r>
      <w:proofErr w:type="spellStart"/>
      <w:r w:rsidR="000C33E0" w:rsidRPr="003309ED">
        <w:t>Lasee</w:t>
      </w:r>
      <w:proofErr w:type="spellEnd"/>
      <w:r w:rsidR="000C33E0" w:rsidRPr="003309ED">
        <w:t xml:space="preserve"> et al. 2020</w:t>
      </w:r>
      <w:r w:rsidR="009A3B92" w:rsidRPr="003309ED">
        <w:t>.</w:t>
      </w:r>
      <w:bookmarkEnd w:id="49"/>
    </w:p>
    <w:tbl>
      <w:tblPr>
        <w:tblW w:w="0" w:type="auto"/>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PFOS+PFHxS transfer factors for HILs calculator assuming 50% PFOS and 50% PFHxS in soil (by mass) as per Equation A3 and a MultiplierPFHxS of 6.9."/>
        <w:tblDescription w:val="Table showing transfer ractos for the sum of PFOS and PFHxS in soil. Celery, as a representative of green vegetables, has the highest transfer factor of the sum of PFOS and PFHxS."/>
      </w:tblPr>
      <w:tblGrid>
        <w:gridCol w:w="1154"/>
        <w:gridCol w:w="2060"/>
        <w:gridCol w:w="2008"/>
        <w:gridCol w:w="1554"/>
        <w:gridCol w:w="2294"/>
      </w:tblGrid>
      <w:tr w:rsidR="004F35C7" w:rsidRPr="00B11D37" w14:paraId="5B785686" w14:textId="5DD5E8F2" w:rsidTr="004F35C7">
        <w:tc>
          <w:tcPr>
            <w:tcW w:w="0" w:type="auto"/>
            <w:vAlign w:val="center"/>
          </w:tcPr>
          <w:bookmarkEnd w:id="50"/>
          <w:p w14:paraId="342BDB6E" w14:textId="130B53CB" w:rsidR="004F35C7" w:rsidRDefault="004F35C7" w:rsidP="004F35C7">
            <w:pPr>
              <w:pStyle w:val="TableHeading"/>
            </w:pPr>
            <w:r w:rsidRPr="00A77D0E">
              <w:t>Vegetable category</w:t>
            </w:r>
          </w:p>
        </w:tc>
        <w:tc>
          <w:tcPr>
            <w:tcW w:w="0" w:type="auto"/>
            <w:tcMar>
              <w:left w:w="108" w:type="dxa"/>
              <w:right w:w="108" w:type="dxa"/>
            </w:tcMar>
            <w:vAlign w:val="center"/>
          </w:tcPr>
          <w:p w14:paraId="118DD332" w14:textId="208447DA" w:rsidR="004F35C7" w:rsidRPr="00B11D37" w:rsidRDefault="004F35C7" w:rsidP="004F35C7">
            <w:pPr>
              <w:pStyle w:val="TableHeading"/>
              <w:rPr>
                <w:rFonts w:cstheme="minorHAnsi"/>
              </w:rPr>
            </w:pPr>
            <w:r w:rsidRPr="00A77D0E">
              <w:t>PFOS TF (WW) and r</w:t>
            </w:r>
            <w:r w:rsidRPr="00A77D0E" w:rsidDel="00657539">
              <w:t>e</w:t>
            </w:r>
            <w:r w:rsidRPr="00A77D0E">
              <w:t>ference used in OEH 2019</w:t>
            </w:r>
          </w:p>
        </w:tc>
        <w:tc>
          <w:tcPr>
            <w:tcW w:w="0" w:type="auto"/>
            <w:tcMar>
              <w:left w:w="108" w:type="dxa"/>
              <w:right w:w="108" w:type="dxa"/>
            </w:tcMar>
            <w:vAlign w:val="center"/>
          </w:tcPr>
          <w:p w14:paraId="08EBDC8A" w14:textId="5086B74A" w:rsidR="004F35C7" w:rsidRPr="00B11D37" w:rsidRDefault="004F35C7" w:rsidP="004F35C7">
            <w:pPr>
              <w:pStyle w:val="TableHeading"/>
              <w:rPr>
                <w:rFonts w:cstheme="minorHAnsi"/>
              </w:rPr>
            </w:pPr>
            <w:r w:rsidRPr="00A77D0E">
              <w:t xml:space="preserve">PFOS + </w:t>
            </w:r>
            <w:proofErr w:type="spellStart"/>
            <w:r w:rsidRPr="00A77D0E">
              <w:t>PFHxS</w:t>
            </w:r>
            <w:proofErr w:type="spellEnd"/>
            <w:r w:rsidRPr="00A77D0E">
              <w:t xml:space="preserve"> combined TF from OEH, 2019</w:t>
            </w:r>
            <w:r w:rsidR="00DE01CC">
              <w:t xml:space="preserve"> </w:t>
            </w:r>
            <w:r w:rsidR="00DE01CC" w:rsidRPr="00DE01CC">
              <w:rPr>
                <w:vertAlign w:val="superscript"/>
              </w:rPr>
              <w:t>a</w:t>
            </w:r>
          </w:p>
        </w:tc>
        <w:tc>
          <w:tcPr>
            <w:tcW w:w="0" w:type="auto"/>
            <w:vAlign w:val="center"/>
          </w:tcPr>
          <w:p w14:paraId="018EB1A7" w14:textId="49E931C1" w:rsidR="004F35C7" w:rsidRPr="00325B0D" w:rsidRDefault="004F35C7" w:rsidP="004F35C7">
            <w:pPr>
              <w:pStyle w:val="TableHeading"/>
            </w:pPr>
            <w:r w:rsidRPr="00A77D0E">
              <w:t>New PFOS TF (WW) and r</w:t>
            </w:r>
            <w:r w:rsidRPr="00A77D0E" w:rsidDel="00657539">
              <w:t>e</w:t>
            </w:r>
            <w:r w:rsidRPr="00A77D0E">
              <w:t xml:space="preserve">ference </w:t>
            </w:r>
          </w:p>
        </w:tc>
        <w:tc>
          <w:tcPr>
            <w:tcW w:w="0" w:type="auto"/>
            <w:vAlign w:val="center"/>
          </w:tcPr>
          <w:p w14:paraId="725662E7" w14:textId="3786B373" w:rsidR="004F35C7" w:rsidRPr="00325B0D" w:rsidRDefault="004F35C7" w:rsidP="004F35C7">
            <w:pPr>
              <w:pStyle w:val="TableHeading"/>
            </w:pPr>
            <w:r w:rsidRPr="00A77D0E">
              <w:t xml:space="preserve">New PFOS + </w:t>
            </w:r>
            <w:proofErr w:type="spellStart"/>
            <w:r w:rsidRPr="00A77D0E">
              <w:t>PFHxS</w:t>
            </w:r>
            <w:proofErr w:type="spellEnd"/>
            <w:r w:rsidRPr="00A77D0E">
              <w:t xml:space="preserve"> combined TF for due diligence checking</w:t>
            </w:r>
            <w:r w:rsidR="00DE01CC">
              <w:t xml:space="preserve"> </w:t>
            </w:r>
            <w:r w:rsidR="00DE01CC" w:rsidRPr="004636DE">
              <w:rPr>
                <w:vertAlign w:val="superscript"/>
              </w:rPr>
              <w:t>a</w:t>
            </w:r>
          </w:p>
        </w:tc>
      </w:tr>
      <w:tr w:rsidR="004F35C7" w:rsidRPr="00B11D37" w14:paraId="6B098BF7" w14:textId="771D33B2" w:rsidTr="004F35C7">
        <w:tc>
          <w:tcPr>
            <w:tcW w:w="0" w:type="auto"/>
            <w:vAlign w:val="center"/>
          </w:tcPr>
          <w:p w14:paraId="329C3BF5" w14:textId="4D1CE18D" w:rsidR="004F35C7" w:rsidRDefault="004F35C7" w:rsidP="004F35C7">
            <w:pPr>
              <w:pStyle w:val="TableText0"/>
            </w:pPr>
            <w:r w:rsidRPr="00A77D0E">
              <w:t xml:space="preserve">Root vegetable </w:t>
            </w:r>
          </w:p>
        </w:tc>
        <w:tc>
          <w:tcPr>
            <w:tcW w:w="0" w:type="auto"/>
            <w:tcMar>
              <w:left w:w="108" w:type="dxa"/>
              <w:right w:w="108" w:type="dxa"/>
            </w:tcMar>
            <w:vAlign w:val="center"/>
          </w:tcPr>
          <w:p w14:paraId="3D989950" w14:textId="77777777" w:rsidR="004F35C7" w:rsidRPr="00A77D0E" w:rsidRDefault="004F35C7" w:rsidP="004F35C7">
            <w:pPr>
              <w:pStyle w:val="TableText0"/>
            </w:pPr>
            <w:r w:rsidRPr="00A77D0E">
              <w:t>0.13, Radish</w:t>
            </w:r>
          </w:p>
          <w:p w14:paraId="2EB4E159" w14:textId="223E71C0" w:rsidR="004F35C7" w:rsidRPr="00325B0D" w:rsidRDefault="004F35C7" w:rsidP="004F35C7">
            <w:pPr>
              <w:pStyle w:val="TableText0"/>
              <w:rPr>
                <w:rFonts w:cstheme="minorHAnsi"/>
              </w:rPr>
            </w:pPr>
            <w:r w:rsidRPr="00A77D0E">
              <w:t>(Wen et al 2016)</w:t>
            </w:r>
          </w:p>
        </w:tc>
        <w:tc>
          <w:tcPr>
            <w:tcW w:w="0" w:type="auto"/>
            <w:tcMar>
              <w:left w:w="108" w:type="dxa"/>
              <w:right w:w="108" w:type="dxa"/>
            </w:tcMar>
            <w:vAlign w:val="center"/>
          </w:tcPr>
          <w:p w14:paraId="6C35E7C6" w14:textId="6C4E13B7" w:rsidR="004F35C7" w:rsidRPr="00325B0D" w:rsidRDefault="004F35C7" w:rsidP="004F35C7">
            <w:pPr>
              <w:pStyle w:val="TableText0"/>
              <w:rPr>
                <w:rFonts w:cstheme="minorHAnsi"/>
              </w:rPr>
            </w:pPr>
            <w:r w:rsidRPr="00A77D0E">
              <w:t>0.51</w:t>
            </w:r>
          </w:p>
        </w:tc>
        <w:tc>
          <w:tcPr>
            <w:tcW w:w="0" w:type="auto"/>
            <w:vAlign w:val="center"/>
          </w:tcPr>
          <w:p w14:paraId="0A573EEE" w14:textId="77777777" w:rsidR="004F35C7" w:rsidRPr="00A77D0E" w:rsidRDefault="004F35C7" w:rsidP="004F35C7">
            <w:pPr>
              <w:pStyle w:val="TableText0"/>
            </w:pPr>
            <w:r w:rsidRPr="00A77D0E">
              <w:t>0.15, Radish</w:t>
            </w:r>
          </w:p>
          <w:p w14:paraId="2F4A4872" w14:textId="5015F638" w:rsidR="004F35C7" w:rsidRPr="00325B0D" w:rsidRDefault="004F35C7" w:rsidP="004F35C7">
            <w:pPr>
              <w:pStyle w:val="TableText0"/>
            </w:pPr>
            <w:r w:rsidRPr="00A77D0E">
              <w:t>(</w:t>
            </w:r>
            <w:proofErr w:type="spellStart"/>
            <w:r w:rsidRPr="00A77D0E">
              <w:t>Lasee</w:t>
            </w:r>
            <w:proofErr w:type="spellEnd"/>
            <w:r w:rsidRPr="00A77D0E">
              <w:t xml:space="preserve"> et al. 2019)</w:t>
            </w:r>
          </w:p>
        </w:tc>
        <w:tc>
          <w:tcPr>
            <w:tcW w:w="0" w:type="auto"/>
            <w:vAlign w:val="center"/>
          </w:tcPr>
          <w:p w14:paraId="36553691" w14:textId="7593A04D" w:rsidR="004F35C7" w:rsidRPr="00325B0D" w:rsidRDefault="004F35C7" w:rsidP="004F35C7">
            <w:pPr>
              <w:pStyle w:val="TableText0"/>
            </w:pPr>
            <w:r w:rsidRPr="00A77D0E">
              <w:t>0.58</w:t>
            </w:r>
          </w:p>
        </w:tc>
      </w:tr>
      <w:tr w:rsidR="004F35C7" w:rsidRPr="00B11D37" w14:paraId="1D790FC6" w14:textId="7E1B18BC" w:rsidTr="004F35C7">
        <w:tc>
          <w:tcPr>
            <w:tcW w:w="0" w:type="auto"/>
            <w:vAlign w:val="center"/>
          </w:tcPr>
          <w:p w14:paraId="684B7871" w14:textId="443AA0D6" w:rsidR="004F35C7" w:rsidRDefault="004F35C7" w:rsidP="004F35C7">
            <w:pPr>
              <w:pStyle w:val="TableText0"/>
            </w:pPr>
            <w:r w:rsidRPr="00A77D0E">
              <w:t xml:space="preserve">Fruit </w:t>
            </w:r>
          </w:p>
        </w:tc>
        <w:tc>
          <w:tcPr>
            <w:tcW w:w="0" w:type="auto"/>
            <w:tcMar>
              <w:left w:w="108" w:type="dxa"/>
              <w:right w:w="108" w:type="dxa"/>
            </w:tcMar>
            <w:vAlign w:val="center"/>
          </w:tcPr>
          <w:p w14:paraId="61E26941" w14:textId="77777777" w:rsidR="004F35C7" w:rsidRPr="00A77D0E" w:rsidRDefault="004F35C7" w:rsidP="004F35C7">
            <w:pPr>
              <w:pStyle w:val="TableText0"/>
            </w:pPr>
            <w:r w:rsidRPr="00A77D0E">
              <w:t>0.005, Pea</w:t>
            </w:r>
          </w:p>
          <w:p w14:paraId="32586EAE" w14:textId="45ECC093" w:rsidR="004F35C7" w:rsidRPr="00325B0D" w:rsidRDefault="004F35C7" w:rsidP="004F35C7">
            <w:pPr>
              <w:pStyle w:val="TableText0"/>
              <w:rPr>
                <w:rFonts w:cstheme="minorHAnsi"/>
              </w:rPr>
            </w:pPr>
            <w:r w:rsidRPr="00A77D0E">
              <w:t>(Blaine et al 2014)</w:t>
            </w:r>
          </w:p>
        </w:tc>
        <w:tc>
          <w:tcPr>
            <w:tcW w:w="0" w:type="auto"/>
            <w:tcMar>
              <w:left w:w="108" w:type="dxa"/>
              <w:right w:w="108" w:type="dxa"/>
            </w:tcMar>
            <w:vAlign w:val="center"/>
          </w:tcPr>
          <w:p w14:paraId="059AC4B5" w14:textId="1382E7F1" w:rsidR="004F35C7" w:rsidRPr="00325B0D" w:rsidRDefault="004F35C7" w:rsidP="004F35C7">
            <w:pPr>
              <w:pStyle w:val="TableText0"/>
              <w:rPr>
                <w:rFonts w:cstheme="minorHAnsi"/>
              </w:rPr>
            </w:pPr>
            <w:r w:rsidRPr="00A77D0E">
              <w:t>0.02</w:t>
            </w:r>
          </w:p>
        </w:tc>
        <w:tc>
          <w:tcPr>
            <w:tcW w:w="0" w:type="auto"/>
            <w:vAlign w:val="center"/>
          </w:tcPr>
          <w:p w14:paraId="2008C505" w14:textId="77777777" w:rsidR="004F35C7" w:rsidRPr="00A77D0E" w:rsidRDefault="004F35C7" w:rsidP="004F35C7">
            <w:pPr>
              <w:pStyle w:val="TableText0"/>
            </w:pPr>
            <w:r w:rsidRPr="00A77D0E">
              <w:t>0.015, Tomato</w:t>
            </w:r>
          </w:p>
          <w:p w14:paraId="17BCC0D9" w14:textId="0B7B1AB3" w:rsidR="004F35C7" w:rsidRPr="00325B0D" w:rsidRDefault="004F35C7" w:rsidP="004F35C7">
            <w:pPr>
              <w:pStyle w:val="TableText0"/>
            </w:pPr>
            <w:r w:rsidRPr="00A77D0E">
              <w:t>(Bao et al. 2020)</w:t>
            </w:r>
          </w:p>
        </w:tc>
        <w:tc>
          <w:tcPr>
            <w:tcW w:w="0" w:type="auto"/>
            <w:vAlign w:val="center"/>
          </w:tcPr>
          <w:p w14:paraId="7090F01C" w14:textId="0CBBFC41" w:rsidR="004F35C7" w:rsidRPr="00325B0D" w:rsidRDefault="004F35C7" w:rsidP="004F35C7">
            <w:pPr>
              <w:pStyle w:val="TableText0"/>
            </w:pPr>
            <w:r w:rsidRPr="00A77D0E">
              <w:t>0.059</w:t>
            </w:r>
          </w:p>
        </w:tc>
      </w:tr>
    </w:tbl>
    <w:p w14:paraId="5D4B0F38" w14:textId="3F74D167" w:rsidR="004F35C7" w:rsidRPr="00571403" w:rsidRDefault="004F35C7" w:rsidP="00571403">
      <w:pPr>
        <w:pStyle w:val="Normalsmall"/>
        <w:spacing w:after="60"/>
        <w:rPr>
          <w:sz w:val="20"/>
          <w:szCs w:val="20"/>
          <w:lang w:eastAsia="ja-JP"/>
        </w:rPr>
      </w:pPr>
      <w:r w:rsidRPr="00571403">
        <w:rPr>
          <w:sz w:val="20"/>
          <w:szCs w:val="20"/>
          <w:lang w:eastAsia="ja-JP"/>
        </w:rPr>
        <w:t>Notes</w:t>
      </w:r>
    </w:p>
    <w:p w14:paraId="7F92295E" w14:textId="15543433" w:rsidR="004F35C7" w:rsidRPr="00571403" w:rsidRDefault="00DE01CC" w:rsidP="00571403">
      <w:pPr>
        <w:pStyle w:val="Normalsmall"/>
        <w:spacing w:after="60"/>
        <w:rPr>
          <w:sz w:val="20"/>
          <w:szCs w:val="20"/>
        </w:rPr>
      </w:pPr>
      <w:r>
        <w:rPr>
          <w:sz w:val="20"/>
          <w:szCs w:val="20"/>
        </w:rPr>
        <w:t xml:space="preserve"> </w:t>
      </w:r>
      <w:r w:rsidRPr="004636DE">
        <w:rPr>
          <w:sz w:val="20"/>
          <w:szCs w:val="20"/>
          <w:vertAlign w:val="superscript"/>
        </w:rPr>
        <w:t>a</w:t>
      </w:r>
      <w:r>
        <w:rPr>
          <w:sz w:val="20"/>
          <w:szCs w:val="20"/>
          <w:vertAlign w:val="superscript"/>
        </w:rPr>
        <w:t xml:space="preserve"> </w:t>
      </w:r>
      <w:proofErr w:type="spellStart"/>
      <w:r w:rsidR="00571403">
        <w:rPr>
          <w:sz w:val="20"/>
          <w:szCs w:val="20"/>
        </w:rPr>
        <w:t>The</w:t>
      </w:r>
      <w:r w:rsidR="004F35C7" w:rsidRPr="00571403">
        <w:rPr>
          <w:sz w:val="20"/>
          <w:szCs w:val="20"/>
        </w:rPr>
        <w:t>ratio</w:t>
      </w:r>
      <w:proofErr w:type="spellEnd"/>
      <w:r w:rsidR="004F35C7" w:rsidRPr="00571403">
        <w:rPr>
          <w:sz w:val="20"/>
          <w:szCs w:val="20"/>
        </w:rPr>
        <w:t xml:space="preserve"> of 6.9 was used to calculate a combined TF for PFOS + </w:t>
      </w:r>
      <w:proofErr w:type="spellStart"/>
      <w:r w:rsidR="004F35C7" w:rsidRPr="00571403">
        <w:rPr>
          <w:sz w:val="20"/>
          <w:szCs w:val="20"/>
        </w:rPr>
        <w:t>PFHxS</w:t>
      </w:r>
      <w:proofErr w:type="spellEnd"/>
      <w:r w:rsidR="004F35C7" w:rsidRPr="00571403">
        <w:rPr>
          <w:sz w:val="20"/>
          <w:szCs w:val="20"/>
        </w:rPr>
        <w:t xml:space="preserve"> as per OEH (2019)</w:t>
      </w:r>
    </w:p>
    <w:p w14:paraId="6E52F86F" w14:textId="1BB9C83A" w:rsidR="00571403" w:rsidRPr="00571403" w:rsidRDefault="00571403" w:rsidP="00571403">
      <w:pPr>
        <w:pStyle w:val="Normalsmall"/>
        <w:spacing w:after="60"/>
        <w:rPr>
          <w:sz w:val="20"/>
          <w:szCs w:val="20"/>
        </w:rPr>
      </w:pPr>
      <w:r w:rsidRPr="00571403">
        <w:rPr>
          <w:sz w:val="20"/>
          <w:szCs w:val="20"/>
        </w:rPr>
        <w:t>WW = wet weight</w:t>
      </w:r>
    </w:p>
    <w:p w14:paraId="2CBB4ADE" w14:textId="77777777" w:rsidR="000C33E0" w:rsidRPr="000C33E0" w:rsidRDefault="000C33E0" w:rsidP="004F35C7">
      <w:pPr>
        <w:pStyle w:val="Normalsmall"/>
        <w:rPr>
          <w:sz w:val="4"/>
          <w:szCs w:val="4"/>
        </w:rPr>
      </w:pPr>
    </w:p>
    <w:p w14:paraId="267D697A" w14:textId="452E611F" w:rsidR="00082F5D" w:rsidRPr="00374133" w:rsidRDefault="0033168F" w:rsidP="004636DE">
      <w:pPr>
        <w:pStyle w:val="Heading3"/>
        <w:numPr>
          <w:ilvl w:val="0"/>
          <w:numId w:val="0"/>
        </w:numPr>
      </w:pPr>
      <w:bookmarkStart w:id="51" w:name="_Toc112151564"/>
      <w:r>
        <w:t xml:space="preserve">B.1 </w:t>
      </w:r>
      <w:r w:rsidR="004F35C7">
        <w:t>PFOA</w:t>
      </w:r>
      <w:bookmarkEnd w:id="51"/>
    </w:p>
    <w:p w14:paraId="5B35E721" w14:textId="77777777" w:rsidR="004F35C7" w:rsidRDefault="004F35C7" w:rsidP="004F35C7">
      <w:pPr>
        <w:rPr>
          <w:color w:val="000000" w:themeColor="text1"/>
        </w:rPr>
      </w:pPr>
      <w:r>
        <w:t xml:space="preserve">The paper published by Liu et al. (2019) was used for a sensitivity analysis, to determine if PFOA TFs used in the derivation of HIL A criteria are protective of a worst-case-setting, where maximum uptake may occur. Liu et al. (2019) investigated PFOA uptake into different vegetables and fruit in an open-air setting </w:t>
      </w:r>
      <w:proofErr w:type="gramStart"/>
      <w:r>
        <w:t>in close proximity to</w:t>
      </w:r>
      <w:proofErr w:type="gramEnd"/>
      <w:r>
        <w:t xml:space="preserve"> a large fluorochemical production facility. Plant exposure in such settings can stem from multiple exposure pathways, in this case uptake from exposure to soil, contaminated groundwater used for irrigation and plant exposure from atmospheric deposition of PFAS from the fluorochemical production facility. A further exposure pathway, not considered in detail in the study, but listed as a limitation, is the potential transformation of polyfluorinated PFAA-precursors. These additional exposure pathways may have led to increased PFOA (and other PFAS) concentrations in plants and could have skewed derived soil-to-plant TFs to higher values. The maximum PFOA uptake using TFs from the data presented in Liu et al. (2019), can be seen as a worst-case scenario, as chemical uptake may occur through three distinct uptake pathways, through soil, irrigation water and atmospheric deposition. It is reasonable to consider uptake from sites where the soil contamination arises </w:t>
      </w:r>
      <w:r>
        <w:lastRenderedPageBreak/>
        <w:t xml:space="preserve">from application of contaminated water such as groundwater, surface water or rainwater. This is because for many contaminated sites in Australia, the soil contamination being investigated is secondary, arises from garden irrigation of contaminated surface or groundwater that migrates from distant primary source sites.    </w:t>
      </w:r>
    </w:p>
    <w:p w14:paraId="3DF0D240" w14:textId="2AF9B18A" w:rsidR="004F35C7" w:rsidRDefault="004F35C7" w:rsidP="004F35C7">
      <w:r>
        <w:t xml:space="preserve">For each category of vegetables and fruit PFOA TF factors presented in Liu et al. (2019) were used in this sensitivity analysis, if they were higher than TFs reported in Table </w:t>
      </w:r>
      <w:r w:rsidR="00A9423C">
        <w:t>2</w:t>
      </w:r>
      <w:r>
        <w:t xml:space="preserve">. This was the case for the green vegetables and fruit categories, </w:t>
      </w:r>
      <w:proofErr w:type="gramStart"/>
      <w:r>
        <w:t>where</w:t>
      </w:r>
      <w:proofErr w:type="gramEnd"/>
      <w:r>
        <w:t xml:space="preserve"> </w:t>
      </w:r>
    </w:p>
    <w:p w14:paraId="5ABEC55A" w14:textId="77777777" w:rsidR="004F35C7" w:rsidRDefault="004F35C7" w:rsidP="00CB21C4">
      <w:pPr>
        <w:pStyle w:val="ListBullet"/>
      </w:pPr>
      <w:r>
        <w:t xml:space="preserve">a maximum wet weight TF for lettuce of 0.47 was derived, which is higher than the TF for red chicory (0.14), and </w:t>
      </w:r>
    </w:p>
    <w:p w14:paraId="63A6014F" w14:textId="77777777" w:rsidR="004F35C7" w:rsidRDefault="004F35C7" w:rsidP="00CB21C4">
      <w:pPr>
        <w:pStyle w:val="ListBullet"/>
      </w:pPr>
      <w:r>
        <w:t xml:space="preserve">a maximum wet weight TF of 0.068 for peppers (capsicum) was derived, compared to the TF of 0.039 for tomato. </w:t>
      </w:r>
    </w:p>
    <w:p w14:paraId="15724827" w14:textId="2CEE0863" w:rsidR="004F35C7" w:rsidRPr="004F35C7" w:rsidRDefault="004F35C7" w:rsidP="004F35C7">
      <w:r>
        <w:t xml:space="preserve">Using these maximum TFs for the fruit and green vegetable categories in this sensitivity analysis, the calculated HIL A is 0.09 for 10% fruit and vegetable consumption from homegrown produce and 0.02 for 50% fruit and vegetable consumption from homegrown produce. The current HIL A criteria in the NEMP 2.0 is 0.1 for 10% and 0.02 for 50% fruit and vegetable consumption from homegrown produce. These values are therefore within the same range (once rounded) and expected uncertainty compared with </w:t>
      </w:r>
      <w:r>
        <w:rPr>
          <w:lang w:eastAsia="en-AU"/>
        </w:rPr>
        <w:t>the HIL A currently reported in NEMP 2.0.</w:t>
      </w:r>
    </w:p>
    <w:sectPr w:rsidR="004F35C7" w:rsidRPr="004F35C7" w:rsidSect="0096220D">
      <w:headerReference w:type="default" r:id="rId34"/>
      <w:footerReference w:type="default" r:id="rId35"/>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2820" w14:textId="77777777" w:rsidR="006D453D" w:rsidRDefault="006D453D">
      <w:r>
        <w:separator/>
      </w:r>
    </w:p>
    <w:p w14:paraId="6B9B467D" w14:textId="77777777" w:rsidR="006D453D" w:rsidRDefault="006D453D"/>
    <w:p w14:paraId="3EEC14B5" w14:textId="77777777" w:rsidR="006D453D" w:rsidRDefault="006D453D"/>
  </w:endnote>
  <w:endnote w:type="continuationSeparator" w:id="0">
    <w:p w14:paraId="065FBAA7" w14:textId="77777777" w:rsidR="006D453D" w:rsidRDefault="006D453D">
      <w:r>
        <w:continuationSeparator/>
      </w:r>
    </w:p>
    <w:p w14:paraId="21884B19" w14:textId="77777777" w:rsidR="006D453D" w:rsidRDefault="006D453D"/>
    <w:p w14:paraId="04B5D1EC" w14:textId="77777777" w:rsidR="006D453D" w:rsidRDefault="006D453D"/>
  </w:endnote>
  <w:endnote w:type="continuationNotice" w:id="1">
    <w:p w14:paraId="7A4EC8A9" w14:textId="77777777" w:rsidR="006D453D" w:rsidRDefault="006D453D">
      <w:pPr>
        <w:pStyle w:val="Footer"/>
      </w:pPr>
    </w:p>
    <w:p w14:paraId="3B75062A" w14:textId="77777777" w:rsidR="006D453D" w:rsidRDefault="006D453D"/>
    <w:p w14:paraId="137A3C06" w14:textId="77777777" w:rsidR="006D453D" w:rsidRDefault="006D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0113" w14:textId="77777777" w:rsidR="008D7C8F" w:rsidRDefault="008D7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19E" w14:textId="25908F39" w:rsidR="00081EE7" w:rsidRDefault="00081EE7">
    <w:pPr>
      <w:pStyle w:val="Foo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FB0B" w14:textId="77777777" w:rsidR="008D7C8F" w:rsidRDefault="008D7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665F" w14:textId="43B2E9D9" w:rsidR="00081EE7" w:rsidRDefault="00081EE7">
    <w:pPr>
      <w:pStyle w:val="Footer"/>
      <w:jc w:val="right"/>
    </w:pPr>
  </w:p>
  <w:p w14:paraId="7D491D51" w14:textId="78F6BA1D" w:rsidR="00081EE7" w:rsidRPr="008665ED" w:rsidRDefault="00081EE7" w:rsidP="008665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735842"/>
      <w:docPartObj>
        <w:docPartGallery w:val="Page Numbers (Bottom of Page)"/>
        <w:docPartUnique/>
      </w:docPartObj>
    </w:sdtPr>
    <w:sdtEndPr>
      <w:rPr>
        <w:noProof/>
      </w:rPr>
    </w:sdtEndPr>
    <w:sdtContent>
      <w:p w14:paraId="5095B9C7" w14:textId="73B47F55" w:rsidR="00081EE7" w:rsidRDefault="00081EE7" w:rsidP="009901F3">
        <w:pPr>
          <w:pStyle w:val="Footer"/>
        </w:pPr>
        <w:r>
          <w:fldChar w:fldCharType="begin"/>
        </w:r>
        <w:r>
          <w:instrText xml:space="preserve"> PAGE   \* MERGEFORMAT </w:instrText>
        </w:r>
        <w:r>
          <w:fldChar w:fldCharType="separate"/>
        </w:r>
        <w:r>
          <w:rPr>
            <w:noProof/>
          </w:rPr>
          <w:t>2</w:t>
        </w:r>
        <w:r>
          <w:rPr>
            <w:noProof/>
          </w:rPr>
          <w:fldChar w:fldCharType="end"/>
        </w:r>
      </w:p>
    </w:sdtContent>
  </w:sdt>
  <w:p w14:paraId="0FC47F0B" w14:textId="77777777" w:rsidR="00081EE7" w:rsidRPr="008665ED" w:rsidRDefault="00081EE7" w:rsidP="0086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9735" w14:textId="77777777" w:rsidR="006D453D" w:rsidRDefault="006D453D">
      <w:r>
        <w:separator/>
      </w:r>
    </w:p>
    <w:p w14:paraId="43917025" w14:textId="77777777" w:rsidR="006D453D" w:rsidRDefault="006D453D"/>
    <w:p w14:paraId="3D881581" w14:textId="77777777" w:rsidR="006D453D" w:rsidRDefault="006D453D"/>
  </w:footnote>
  <w:footnote w:type="continuationSeparator" w:id="0">
    <w:p w14:paraId="30EEA814" w14:textId="77777777" w:rsidR="006D453D" w:rsidRDefault="006D453D">
      <w:r>
        <w:continuationSeparator/>
      </w:r>
    </w:p>
    <w:p w14:paraId="4EB2D69D" w14:textId="77777777" w:rsidR="006D453D" w:rsidRDefault="006D453D"/>
    <w:p w14:paraId="3DE02C96" w14:textId="77777777" w:rsidR="006D453D" w:rsidRDefault="006D453D"/>
  </w:footnote>
  <w:footnote w:type="continuationNotice" w:id="1">
    <w:p w14:paraId="1F0DDCBE" w14:textId="77777777" w:rsidR="006D453D" w:rsidRDefault="006D453D">
      <w:pPr>
        <w:pStyle w:val="Footer"/>
      </w:pPr>
    </w:p>
    <w:p w14:paraId="71DA2B14" w14:textId="77777777" w:rsidR="006D453D" w:rsidRDefault="006D453D"/>
    <w:p w14:paraId="59B39819" w14:textId="77777777" w:rsidR="006D453D" w:rsidRDefault="006D4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B904" w14:textId="77777777" w:rsidR="008D7C8F" w:rsidRDefault="008D7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D2E" w14:textId="307F6112" w:rsidR="00081EE7" w:rsidRPr="001248C3" w:rsidRDefault="00081EE7" w:rsidP="001248C3">
    <w:pPr>
      <w:pStyle w:val="Header"/>
    </w:pPr>
    <w:r w:rsidRPr="001248C3">
      <w:rPr>
        <w:noProof/>
        <w:lang w:val="en-US"/>
      </w:rPr>
      <w:t>PFAS NEMP</w:t>
    </w:r>
    <w:r>
      <w:rPr>
        <w:noProof/>
        <w:lang w:val="en-US"/>
      </w:rPr>
      <w:t xml:space="preserve"> 3.0</w:t>
    </w:r>
    <w:r w:rsidRPr="001248C3">
      <w:rPr>
        <w:noProof/>
        <w:lang w:val="en-US"/>
      </w:rPr>
      <w:t xml:space="preserve"> Supporting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54B1" w14:textId="2F959A74" w:rsidR="00081EE7" w:rsidRDefault="00081EE7">
    <w:pPr>
      <w:pStyle w:val="Header"/>
      <w:jc w:val="left"/>
    </w:pPr>
    <w:r>
      <w:rPr>
        <w:noProof/>
        <w:lang w:eastAsia="en-AU"/>
      </w:rPr>
      <w:drawing>
        <wp:inline distT="0" distB="0" distL="0" distR="0" wp14:anchorId="630CD53A" wp14:editId="7E5D075E">
          <wp:extent cx="1745983" cy="637247"/>
          <wp:effectExtent l="0" t="0" r="6985" b="0"/>
          <wp:docPr id="8" name="Picture 8" descr="Heads of EPA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ds of EPA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5983" cy="63724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4435" w14:textId="2323111A" w:rsidR="00081EE7" w:rsidRPr="00E51F67" w:rsidRDefault="00081EE7" w:rsidP="00E51F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17C3" w14:textId="44D69191" w:rsidR="00081EE7" w:rsidRPr="00E51F67" w:rsidRDefault="00081EE7" w:rsidP="00D54017">
    <w:pPr>
      <w:pStyle w:val="Header"/>
    </w:pPr>
    <w:r w:rsidRPr="001248C3">
      <w:rPr>
        <w:noProof/>
        <w:lang w:val="en-US"/>
      </w:rPr>
      <w:t>PFAS NEMP</w:t>
    </w:r>
    <w:r>
      <w:rPr>
        <w:noProof/>
        <w:lang w:val="en-US"/>
      </w:rPr>
      <w:t xml:space="preserve"> 3.0</w:t>
    </w:r>
    <w:r w:rsidRPr="001248C3">
      <w:rPr>
        <w:noProof/>
        <w:lang w:val="en-US"/>
      </w:rPr>
      <w:t xml:space="preserve"> Supporting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C81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A4B9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3764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F0AF1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605BE"/>
    <w:multiLevelType w:val="hybridMultilevel"/>
    <w:tmpl w:val="8982C264"/>
    <w:lvl w:ilvl="0" w:tplc="6982379A">
      <w:start w:val="1"/>
      <w:numFmt w:val="bullet"/>
      <w:pStyle w:val="Tabl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2B6076D"/>
    <w:multiLevelType w:val="hybridMultilevel"/>
    <w:tmpl w:val="39DAAAAA"/>
    <w:lvl w:ilvl="0" w:tplc="0C090001">
      <w:start w:val="1"/>
      <w:numFmt w:val="bullet"/>
      <w:pStyle w:val="Reference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B756E1"/>
    <w:multiLevelType w:val="multilevel"/>
    <w:tmpl w:val="E7F060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9C0424"/>
    <w:multiLevelType w:val="hybridMultilevel"/>
    <w:tmpl w:val="09C0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A12372"/>
    <w:multiLevelType w:val="hybridMultilevel"/>
    <w:tmpl w:val="0530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663B1"/>
    <w:multiLevelType w:val="hybridMultilevel"/>
    <w:tmpl w:val="824C1118"/>
    <w:lvl w:ilvl="0" w:tplc="E8B4EC9A">
      <w:start w:val="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C807A7"/>
    <w:multiLevelType w:val="hybridMultilevel"/>
    <w:tmpl w:val="83C6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03637"/>
    <w:multiLevelType w:val="multilevel"/>
    <w:tmpl w:val="BE78A4F8"/>
    <w:numStyleLink w:val="Numberlist"/>
  </w:abstractNum>
  <w:abstractNum w:abstractNumId="21" w15:restartNumberingAfterBreak="0">
    <w:nsid w:val="35292A75"/>
    <w:multiLevelType w:val="multilevel"/>
    <w:tmpl w:val="89FC2192"/>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394A15FE"/>
    <w:multiLevelType w:val="multilevel"/>
    <w:tmpl w:val="F36C17E8"/>
    <w:numStyleLink w:val="Headinglist"/>
  </w:abstractNum>
  <w:abstractNum w:abstractNumId="23" w15:restartNumberingAfterBreak="0">
    <w:nsid w:val="414F4729"/>
    <w:multiLevelType w:val="multilevel"/>
    <w:tmpl w:val="A0241B28"/>
    <w:numStyleLink w:val="List1"/>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8C10A1"/>
    <w:multiLevelType w:val="multilevel"/>
    <w:tmpl w:val="BE78A4F8"/>
    <w:numStyleLink w:val="Numberlist"/>
  </w:abstractNum>
  <w:abstractNum w:abstractNumId="34" w15:restartNumberingAfterBreak="0">
    <w:nsid w:val="6D1A4405"/>
    <w:multiLevelType w:val="hybridMultilevel"/>
    <w:tmpl w:val="79A66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3934B7"/>
    <w:multiLevelType w:val="multilevel"/>
    <w:tmpl w:val="A0241B28"/>
    <w:numStyleLink w:val="List1"/>
  </w:abstractNum>
  <w:abstractNum w:abstractNumId="36" w15:restartNumberingAfterBreak="0">
    <w:nsid w:val="74F403F3"/>
    <w:multiLevelType w:val="multilevel"/>
    <w:tmpl w:val="E8D26244"/>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785" w:hanging="360"/>
      </w:pPr>
      <w:rPr>
        <w:rFonts w:ascii="Symbol" w:hAnsi="Symbol"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2082486022">
    <w:abstractNumId w:val="6"/>
  </w:num>
  <w:num w:numId="2" w16cid:durableId="1787777037">
    <w:abstractNumId w:val="24"/>
  </w:num>
  <w:num w:numId="3" w16cid:durableId="1773620451">
    <w:abstractNumId w:val="25"/>
  </w:num>
  <w:num w:numId="4" w16cid:durableId="1486122627">
    <w:abstractNumId w:val="12"/>
  </w:num>
  <w:num w:numId="5" w16cid:durableId="1666519588">
    <w:abstractNumId w:val="30"/>
  </w:num>
  <w:num w:numId="6" w16cid:durableId="1658262929">
    <w:abstractNumId w:val="31"/>
  </w:num>
  <w:num w:numId="7" w16cid:durableId="1108815657">
    <w:abstractNumId w:val="7"/>
  </w:num>
  <w:num w:numId="8" w16cid:durableId="121310389">
    <w:abstractNumId w:val="15"/>
  </w:num>
  <w:num w:numId="9" w16cid:durableId="153690374">
    <w:abstractNumId w:val="22"/>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num>
  <w:num w:numId="10" w16cid:durableId="481502587">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4827372">
    <w:abstractNumId w:val="5"/>
  </w:num>
  <w:num w:numId="12" w16cid:durableId="1950308952">
    <w:abstractNumId w:val="4"/>
  </w:num>
  <w:num w:numId="13" w16cid:durableId="77136599">
    <w:abstractNumId w:val="3"/>
  </w:num>
  <w:num w:numId="14" w16cid:durableId="801456918">
    <w:abstractNumId w:val="2"/>
  </w:num>
  <w:num w:numId="15" w16cid:durableId="161357196">
    <w:abstractNumId w:val="13"/>
  </w:num>
  <w:num w:numId="16" w16cid:durableId="1139375989">
    <w:abstractNumId w:val="28"/>
  </w:num>
  <w:num w:numId="17" w16cid:durableId="2129885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3061309">
    <w:abstractNumId w:val="32"/>
  </w:num>
  <w:num w:numId="19" w16cid:durableId="662464505">
    <w:abstractNumId w:val="1"/>
  </w:num>
  <w:num w:numId="20" w16cid:durableId="299069962">
    <w:abstractNumId w:val="0"/>
  </w:num>
  <w:num w:numId="21" w16cid:durableId="1412434235">
    <w:abstractNumId w:val="20"/>
  </w:num>
  <w:num w:numId="22" w16cid:durableId="585962121">
    <w:abstractNumId w:val="26"/>
  </w:num>
  <w:num w:numId="23" w16cid:durableId="1561862382">
    <w:abstractNumId w:val="33"/>
  </w:num>
  <w:num w:numId="24" w16cid:durableId="1068772951">
    <w:abstractNumId w:val="14"/>
  </w:num>
  <w:num w:numId="25" w16cid:durableId="715200006">
    <w:abstractNumId w:val="23"/>
  </w:num>
  <w:num w:numId="26" w16cid:durableId="11793437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6074092">
    <w:abstractNumId w:val="35"/>
  </w:num>
  <w:num w:numId="28" w16cid:durableId="1466242834">
    <w:abstractNumId w:val="27"/>
  </w:num>
  <w:num w:numId="29" w16cid:durableId="94131455">
    <w:abstractNumId w:val="29"/>
  </w:num>
  <w:num w:numId="30" w16cid:durableId="894706942">
    <w:abstractNumId w:val="9"/>
  </w:num>
  <w:num w:numId="31" w16cid:durableId="1076438085">
    <w:abstractNumId w:val="8"/>
  </w:num>
  <w:num w:numId="32" w16cid:durableId="270867203">
    <w:abstractNumId w:val="19"/>
  </w:num>
  <w:num w:numId="33" w16cid:durableId="715009847">
    <w:abstractNumId w:val="17"/>
  </w:num>
  <w:num w:numId="34" w16cid:durableId="1117800091">
    <w:abstractNumId w:val="34"/>
  </w:num>
  <w:num w:numId="35" w16cid:durableId="1376273285">
    <w:abstractNumId w:val="21"/>
  </w:num>
  <w:num w:numId="36" w16cid:durableId="941455153">
    <w:abstractNumId w:val="10"/>
  </w:num>
  <w:num w:numId="37" w16cid:durableId="1895044582">
    <w:abstractNumId w:val="16"/>
  </w:num>
  <w:num w:numId="38" w16cid:durableId="908417052">
    <w:abstractNumId w:val="11"/>
  </w:num>
  <w:num w:numId="39" w16cid:durableId="1421564930">
    <w:abstractNumId w:val="18"/>
  </w:num>
  <w:num w:numId="40" w16cid:durableId="1094208906">
    <w:abstractNumId w:val="36"/>
  </w:num>
  <w:num w:numId="41" w16cid:durableId="1432699798">
    <w:abstractNumId w:val="22"/>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0sDA2NTQ1NLYwMjRU0lEKTi0uzszPAykwqgUA1rW7KywAAAA="/>
  </w:docVars>
  <w:rsids>
    <w:rsidRoot w:val="00EA5C7D"/>
    <w:rsid w:val="00002A06"/>
    <w:rsid w:val="00013FF6"/>
    <w:rsid w:val="0002091C"/>
    <w:rsid w:val="0002250F"/>
    <w:rsid w:val="00022CFA"/>
    <w:rsid w:val="00034554"/>
    <w:rsid w:val="00040635"/>
    <w:rsid w:val="00047D3B"/>
    <w:rsid w:val="00051A87"/>
    <w:rsid w:val="0005612E"/>
    <w:rsid w:val="000665C3"/>
    <w:rsid w:val="00081EE7"/>
    <w:rsid w:val="00082569"/>
    <w:rsid w:val="00082F5D"/>
    <w:rsid w:val="00083E7D"/>
    <w:rsid w:val="000869AB"/>
    <w:rsid w:val="000878D2"/>
    <w:rsid w:val="00097FA8"/>
    <w:rsid w:val="000A0CD8"/>
    <w:rsid w:val="000A7AAF"/>
    <w:rsid w:val="000B2346"/>
    <w:rsid w:val="000C038C"/>
    <w:rsid w:val="000C33E0"/>
    <w:rsid w:val="000D11CD"/>
    <w:rsid w:val="000D6882"/>
    <w:rsid w:val="000E0CBA"/>
    <w:rsid w:val="000E1803"/>
    <w:rsid w:val="000F4FEE"/>
    <w:rsid w:val="000F63A6"/>
    <w:rsid w:val="00110CD0"/>
    <w:rsid w:val="00111862"/>
    <w:rsid w:val="001118A0"/>
    <w:rsid w:val="00116CD0"/>
    <w:rsid w:val="00116EF6"/>
    <w:rsid w:val="001248C3"/>
    <w:rsid w:val="00143D7E"/>
    <w:rsid w:val="00157497"/>
    <w:rsid w:val="001678AD"/>
    <w:rsid w:val="0017220F"/>
    <w:rsid w:val="00176594"/>
    <w:rsid w:val="0017699C"/>
    <w:rsid w:val="00180128"/>
    <w:rsid w:val="00182708"/>
    <w:rsid w:val="00185777"/>
    <w:rsid w:val="00190ADB"/>
    <w:rsid w:val="00196CA6"/>
    <w:rsid w:val="001A6496"/>
    <w:rsid w:val="001B1A48"/>
    <w:rsid w:val="001B28D8"/>
    <w:rsid w:val="001C7F27"/>
    <w:rsid w:val="001D0267"/>
    <w:rsid w:val="001E3484"/>
    <w:rsid w:val="001F70D8"/>
    <w:rsid w:val="00202392"/>
    <w:rsid w:val="002042F9"/>
    <w:rsid w:val="00206625"/>
    <w:rsid w:val="00210D86"/>
    <w:rsid w:val="002165B2"/>
    <w:rsid w:val="00222137"/>
    <w:rsid w:val="0023223A"/>
    <w:rsid w:val="0023281C"/>
    <w:rsid w:val="0024289A"/>
    <w:rsid w:val="0026461A"/>
    <w:rsid w:val="00280C23"/>
    <w:rsid w:val="00281ABF"/>
    <w:rsid w:val="00281BB6"/>
    <w:rsid w:val="00284390"/>
    <w:rsid w:val="00284C5A"/>
    <w:rsid w:val="00284D14"/>
    <w:rsid w:val="00286307"/>
    <w:rsid w:val="002A2F4A"/>
    <w:rsid w:val="002C167B"/>
    <w:rsid w:val="002C211B"/>
    <w:rsid w:val="002D3155"/>
    <w:rsid w:val="002D3C66"/>
    <w:rsid w:val="002D5B0A"/>
    <w:rsid w:val="002E1BD5"/>
    <w:rsid w:val="002F1338"/>
    <w:rsid w:val="002F6FA5"/>
    <w:rsid w:val="003024BD"/>
    <w:rsid w:val="0031538E"/>
    <w:rsid w:val="00316613"/>
    <w:rsid w:val="0032219A"/>
    <w:rsid w:val="003309ED"/>
    <w:rsid w:val="00331600"/>
    <w:rsid w:val="0033168F"/>
    <w:rsid w:val="003322A4"/>
    <w:rsid w:val="00341111"/>
    <w:rsid w:val="003439A8"/>
    <w:rsid w:val="003451D7"/>
    <w:rsid w:val="003560A2"/>
    <w:rsid w:val="00362EC5"/>
    <w:rsid w:val="0036548E"/>
    <w:rsid w:val="0036615B"/>
    <w:rsid w:val="00374133"/>
    <w:rsid w:val="00377209"/>
    <w:rsid w:val="0038238D"/>
    <w:rsid w:val="00382C2B"/>
    <w:rsid w:val="00384E7A"/>
    <w:rsid w:val="003A2476"/>
    <w:rsid w:val="003C6DD9"/>
    <w:rsid w:val="003D3353"/>
    <w:rsid w:val="003E176C"/>
    <w:rsid w:val="003E6FDB"/>
    <w:rsid w:val="004047A7"/>
    <w:rsid w:val="00404832"/>
    <w:rsid w:val="004101A2"/>
    <w:rsid w:val="00410B27"/>
    <w:rsid w:val="004119A5"/>
    <w:rsid w:val="00411ED0"/>
    <w:rsid w:val="004120D1"/>
    <w:rsid w:val="00416F09"/>
    <w:rsid w:val="004302E6"/>
    <w:rsid w:val="00441951"/>
    <w:rsid w:val="00461957"/>
    <w:rsid w:val="00463147"/>
    <w:rsid w:val="004636DE"/>
    <w:rsid w:val="004755F2"/>
    <w:rsid w:val="00491E5F"/>
    <w:rsid w:val="004973C9"/>
    <w:rsid w:val="004B1D54"/>
    <w:rsid w:val="004B334A"/>
    <w:rsid w:val="004C209E"/>
    <w:rsid w:val="004C25C0"/>
    <w:rsid w:val="004C5C78"/>
    <w:rsid w:val="004D4E7D"/>
    <w:rsid w:val="004E6B12"/>
    <w:rsid w:val="004F35C7"/>
    <w:rsid w:val="004F5352"/>
    <w:rsid w:val="00503147"/>
    <w:rsid w:val="005043EB"/>
    <w:rsid w:val="00505DFD"/>
    <w:rsid w:val="00525E3A"/>
    <w:rsid w:val="005322A2"/>
    <w:rsid w:val="00533367"/>
    <w:rsid w:val="00535121"/>
    <w:rsid w:val="005475BF"/>
    <w:rsid w:val="0056573D"/>
    <w:rsid w:val="00567B7F"/>
    <w:rsid w:val="00571403"/>
    <w:rsid w:val="00585D68"/>
    <w:rsid w:val="00586CD7"/>
    <w:rsid w:val="00597579"/>
    <w:rsid w:val="005A7193"/>
    <w:rsid w:val="005B011F"/>
    <w:rsid w:val="005B2180"/>
    <w:rsid w:val="005D3790"/>
    <w:rsid w:val="005E25BD"/>
    <w:rsid w:val="005F5C25"/>
    <w:rsid w:val="005F65EF"/>
    <w:rsid w:val="005F6A71"/>
    <w:rsid w:val="006138D1"/>
    <w:rsid w:val="006239E3"/>
    <w:rsid w:val="00627105"/>
    <w:rsid w:val="00640C07"/>
    <w:rsid w:val="006417A8"/>
    <w:rsid w:val="00643C78"/>
    <w:rsid w:val="00645E61"/>
    <w:rsid w:val="0065446B"/>
    <w:rsid w:val="00655BE6"/>
    <w:rsid w:val="00661BBA"/>
    <w:rsid w:val="00672200"/>
    <w:rsid w:val="0068427E"/>
    <w:rsid w:val="006870B1"/>
    <w:rsid w:val="00693672"/>
    <w:rsid w:val="006953A0"/>
    <w:rsid w:val="006A0587"/>
    <w:rsid w:val="006A0DEE"/>
    <w:rsid w:val="006A15B1"/>
    <w:rsid w:val="006A318F"/>
    <w:rsid w:val="006B222A"/>
    <w:rsid w:val="006C16FF"/>
    <w:rsid w:val="006C2C20"/>
    <w:rsid w:val="006C5145"/>
    <w:rsid w:val="006D453D"/>
    <w:rsid w:val="006D732A"/>
    <w:rsid w:val="006E6194"/>
    <w:rsid w:val="00714765"/>
    <w:rsid w:val="00725FA8"/>
    <w:rsid w:val="0072616F"/>
    <w:rsid w:val="00734715"/>
    <w:rsid w:val="00744D74"/>
    <w:rsid w:val="00747B93"/>
    <w:rsid w:val="00755DBA"/>
    <w:rsid w:val="007562A9"/>
    <w:rsid w:val="00761FCF"/>
    <w:rsid w:val="00764D6A"/>
    <w:rsid w:val="00766B7D"/>
    <w:rsid w:val="00773056"/>
    <w:rsid w:val="007811AD"/>
    <w:rsid w:val="007874DA"/>
    <w:rsid w:val="007A7FB1"/>
    <w:rsid w:val="007C00E0"/>
    <w:rsid w:val="007C358A"/>
    <w:rsid w:val="007D4BDA"/>
    <w:rsid w:val="007E51A6"/>
    <w:rsid w:val="007F68D3"/>
    <w:rsid w:val="00800E36"/>
    <w:rsid w:val="008570DF"/>
    <w:rsid w:val="00863854"/>
    <w:rsid w:val="008665ED"/>
    <w:rsid w:val="008673C0"/>
    <w:rsid w:val="00877872"/>
    <w:rsid w:val="008779BC"/>
    <w:rsid w:val="00880301"/>
    <w:rsid w:val="00881449"/>
    <w:rsid w:val="00892B1B"/>
    <w:rsid w:val="00892CC1"/>
    <w:rsid w:val="00894286"/>
    <w:rsid w:val="008950CA"/>
    <w:rsid w:val="0089673B"/>
    <w:rsid w:val="008A0EE3"/>
    <w:rsid w:val="008A7226"/>
    <w:rsid w:val="008B2174"/>
    <w:rsid w:val="008C1237"/>
    <w:rsid w:val="008C3E50"/>
    <w:rsid w:val="008D41B7"/>
    <w:rsid w:val="008D619B"/>
    <w:rsid w:val="008D7C8F"/>
    <w:rsid w:val="008E12DC"/>
    <w:rsid w:val="008E54B0"/>
    <w:rsid w:val="008F0B0F"/>
    <w:rsid w:val="008F2778"/>
    <w:rsid w:val="008F79AE"/>
    <w:rsid w:val="00904578"/>
    <w:rsid w:val="00911629"/>
    <w:rsid w:val="009153D9"/>
    <w:rsid w:val="00921EDE"/>
    <w:rsid w:val="00924DF5"/>
    <w:rsid w:val="0093657F"/>
    <w:rsid w:val="00941C50"/>
    <w:rsid w:val="0096220D"/>
    <w:rsid w:val="00971E32"/>
    <w:rsid w:val="00972CD9"/>
    <w:rsid w:val="0097496E"/>
    <w:rsid w:val="00975935"/>
    <w:rsid w:val="00982929"/>
    <w:rsid w:val="00987703"/>
    <w:rsid w:val="009901F3"/>
    <w:rsid w:val="0099081C"/>
    <w:rsid w:val="0099686C"/>
    <w:rsid w:val="009A3B92"/>
    <w:rsid w:val="009B3E18"/>
    <w:rsid w:val="009C3898"/>
    <w:rsid w:val="009D5007"/>
    <w:rsid w:val="009D5B7F"/>
    <w:rsid w:val="009E2823"/>
    <w:rsid w:val="009F0EFC"/>
    <w:rsid w:val="009F2DC3"/>
    <w:rsid w:val="00A102E8"/>
    <w:rsid w:val="00A13BAC"/>
    <w:rsid w:val="00A16076"/>
    <w:rsid w:val="00A16B11"/>
    <w:rsid w:val="00A17DA8"/>
    <w:rsid w:val="00A205FA"/>
    <w:rsid w:val="00A239D4"/>
    <w:rsid w:val="00A27E06"/>
    <w:rsid w:val="00A478F6"/>
    <w:rsid w:val="00A5684F"/>
    <w:rsid w:val="00A62315"/>
    <w:rsid w:val="00A67ACF"/>
    <w:rsid w:val="00A67C55"/>
    <w:rsid w:val="00A82C43"/>
    <w:rsid w:val="00A83A2C"/>
    <w:rsid w:val="00A91307"/>
    <w:rsid w:val="00A91A00"/>
    <w:rsid w:val="00A9423C"/>
    <w:rsid w:val="00AB1845"/>
    <w:rsid w:val="00AB4E05"/>
    <w:rsid w:val="00AB7911"/>
    <w:rsid w:val="00AC35F5"/>
    <w:rsid w:val="00AC6902"/>
    <w:rsid w:val="00AC6CE6"/>
    <w:rsid w:val="00AD231F"/>
    <w:rsid w:val="00AE4237"/>
    <w:rsid w:val="00AE4F1A"/>
    <w:rsid w:val="00B02B9B"/>
    <w:rsid w:val="00B11D37"/>
    <w:rsid w:val="00B12F93"/>
    <w:rsid w:val="00B20702"/>
    <w:rsid w:val="00B23D66"/>
    <w:rsid w:val="00B46823"/>
    <w:rsid w:val="00B5740E"/>
    <w:rsid w:val="00B671F6"/>
    <w:rsid w:val="00B827FB"/>
    <w:rsid w:val="00B84794"/>
    <w:rsid w:val="00B861B4"/>
    <w:rsid w:val="00B94C30"/>
    <w:rsid w:val="00B97E61"/>
    <w:rsid w:val="00BA4B70"/>
    <w:rsid w:val="00BB0283"/>
    <w:rsid w:val="00BB2517"/>
    <w:rsid w:val="00BC1616"/>
    <w:rsid w:val="00BD31CA"/>
    <w:rsid w:val="00BE561A"/>
    <w:rsid w:val="00BE72E9"/>
    <w:rsid w:val="00BF2696"/>
    <w:rsid w:val="00BF4EB3"/>
    <w:rsid w:val="00BF63D4"/>
    <w:rsid w:val="00C003C5"/>
    <w:rsid w:val="00C0073C"/>
    <w:rsid w:val="00C02519"/>
    <w:rsid w:val="00C05842"/>
    <w:rsid w:val="00C125A8"/>
    <w:rsid w:val="00C12ACE"/>
    <w:rsid w:val="00C165EF"/>
    <w:rsid w:val="00C222EC"/>
    <w:rsid w:val="00C2511F"/>
    <w:rsid w:val="00C33358"/>
    <w:rsid w:val="00C34F31"/>
    <w:rsid w:val="00C3530B"/>
    <w:rsid w:val="00C35360"/>
    <w:rsid w:val="00C3657B"/>
    <w:rsid w:val="00C36CC9"/>
    <w:rsid w:val="00C416EC"/>
    <w:rsid w:val="00C45D2D"/>
    <w:rsid w:val="00C51CF1"/>
    <w:rsid w:val="00C655E2"/>
    <w:rsid w:val="00C70635"/>
    <w:rsid w:val="00C719FE"/>
    <w:rsid w:val="00C746FF"/>
    <w:rsid w:val="00C74E4C"/>
    <w:rsid w:val="00C77276"/>
    <w:rsid w:val="00C85C62"/>
    <w:rsid w:val="00C95785"/>
    <w:rsid w:val="00C96EE9"/>
    <w:rsid w:val="00CA37D4"/>
    <w:rsid w:val="00CB083B"/>
    <w:rsid w:val="00CB21C4"/>
    <w:rsid w:val="00CB2D07"/>
    <w:rsid w:val="00CB465F"/>
    <w:rsid w:val="00CD1095"/>
    <w:rsid w:val="00CD43BF"/>
    <w:rsid w:val="00CD6668"/>
    <w:rsid w:val="00CF72A8"/>
    <w:rsid w:val="00D001BB"/>
    <w:rsid w:val="00D07F7D"/>
    <w:rsid w:val="00D1032B"/>
    <w:rsid w:val="00D244FF"/>
    <w:rsid w:val="00D33C25"/>
    <w:rsid w:val="00D429BA"/>
    <w:rsid w:val="00D46F48"/>
    <w:rsid w:val="00D47121"/>
    <w:rsid w:val="00D5333C"/>
    <w:rsid w:val="00D54017"/>
    <w:rsid w:val="00D619F6"/>
    <w:rsid w:val="00D63C18"/>
    <w:rsid w:val="00D65CD1"/>
    <w:rsid w:val="00D6626A"/>
    <w:rsid w:val="00D76CA4"/>
    <w:rsid w:val="00DA5957"/>
    <w:rsid w:val="00DA71B8"/>
    <w:rsid w:val="00DB23E4"/>
    <w:rsid w:val="00DC138B"/>
    <w:rsid w:val="00DD0226"/>
    <w:rsid w:val="00DD7460"/>
    <w:rsid w:val="00DE01CC"/>
    <w:rsid w:val="00DE2F12"/>
    <w:rsid w:val="00E00F70"/>
    <w:rsid w:val="00E0710E"/>
    <w:rsid w:val="00E07DC6"/>
    <w:rsid w:val="00E11367"/>
    <w:rsid w:val="00E1205D"/>
    <w:rsid w:val="00E12815"/>
    <w:rsid w:val="00E20810"/>
    <w:rsid w:val="00E215F6"/>
    <w:rsid w:val="00E22A08"/>
    <w:rsid w:val="00E44EB2"/>
    <w:rsid w:val="00E5134C"/>
    <w:rsid w:val="00E51F67"/>
    <w:rsid w:val="00E5640B"/>
    <w:rsid w:val="00E61C3A"/>
    <w:rsid w:val="00E64D57"/>
    <w:rsid w:val="00E64EBD"/>
    <w:rsid w:val="00E7385D"/>
    <w:rsid w:val="00E91D72"/>
    <w:rsid w:val="00E975FC"/>
    <w:rsid w:val="00EA3C08"/>
    <w:rsid w:val="00EA5C7D"/>
    <w:rsid w:val="00EB1805"/>
    <w:rsid w:val="00EC40D3"/>
    <w:rsid w:val="00ED05DE"/>
    <w:rsid w:val="00ED29E5"/>
    <w:rsid w:val="00EE0D4A"/>
    <w:rsid w:val="00EE4833"/>
    <w:rsid w:val="00EF55CC"/>
    <w:rsid w:val="00EF6C11"/>
    <w:rsid w:val="00F04729"/>
    <w:rsid w:val="00F0584D"/>
    <w:rsid w:val="00F05C35"/>
    <w:rsid w:val="00F07B7B"/>
    <w:rsid w:val="00F147AC"/>
    <w:rsid w:val="00F433DD"/>
    <w:rsid w:val="00F559CF"/>
    <w:rsid w:val="00F770CC"/>
    <w:rsid w:val="00F81105"/>
    <w:rsid w:val="00F82F27"/>
    <w:rsid w:val="00F875E3"/>
    <w:rsid w:val="00F931BE"/>
    <w:rsid w:val="00FA2743"/>
    <w:rsid w:val="00FB301B"/>
    <w:rsid w:val="00FB6CFC"/>
    <w:rsid w:val="00FC1759"/>
    <w:rsid w:val="00FE1CA5"/>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3C44"/>
  <w15:docId w15:val="{E6C1D513-7144-4FAF-8576-F1AAD70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34"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7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rsid w:val="00D76CA4"/>
    <w:pPr>
      <w:pageBreakBefore/>
      <w:numPr>
        <w:numId w:val="9"/>
      </w:numPr>
      <w:spacing w:after="240" w:line="240" w:lineRule="auto"/>
      <w:outlineLvl w:val="1"/>
    </w:pPr>
    <w:rPr>
      <w:rFonts w:ascii="Calibri" w:eastAsiaTheme="minorEastAsia" w:hAnsi="Calibri"/>
      <w:bCs/>
      <w:color w:val="006642"/>
      <w:sz w:val="56"/>
      <w:szCs w:val="28"/>
      <w:lang w:eastAsia="ja-JP"/>
    </w:rPr>
  </w:style>
  <w:style w:type="paragraph" w:styleId="Heading3">
    <w:name w:val="heading 3"/>
    <w:next w:val="Normal"/>
    <w:link w:val="Heading3Char"/>
    <w:uiPriority w:val="4"/>
    <w:qFormat/>
    <w:rsid w:val="00D76CA4"/>
    <w:pPr>
      <w:keepNext/>
      <w:keepLines/>
      <w:numPr>
        <w:ilvl w:val="1"/>
        <w:numId w:val="9"/>
      </w:numPr>
      <w:outlineLvl w:val="2"/>
    </w:pPr>
    <w:rPr>
      <w:rFonts w:ascii="Calibri" w:eastAsia="Times New Roman" w:hAnsi="Calibri"/>
      <w:b/>
      <w:bCs/>
      <w:color w:val="006642"/>
      <w:sz w:val="36"/>
      <w:szCs w:val="24"/>
      <w:lang w:eastAsia="en-US"/>
    </w:rPr>
  </w:style>
  <w:style w:type="paragraph" w:styleId="Heading4">
    <w:name w:val="heading 4"/>
    <w:next w:val="Normal"/>
    <w:link w:val="Heading4Char"/>
    <w:uiPriority w:val="5"/>
    <w:qFormat/>
    <w:rsid w:val="00D76CA4"/>
    <w:pPr>
      <w:keepNext/>
      <w:numPr>
        <w:ilvl w:val="2"/>
        <w:numId w:val="9"/>
      </w:numPr>
      <w:outlineLvl w:val="3"/>
    </w:pPr>
    <w:rPr>
      <w:rFonts w:ascii="Calibri" w:eastAsia="Times New Roman" w:hAnsi="Calibri"/>
      <w:b/>
      <w:bCs/>
      <w:color w:val="006642"/>
      <w:sz w:val="28"/>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unhideWhenUsed/>
    <w:qFormat/>
    <w:rsid w:val="00661BBA"/>
    <w:pPr>
      <w:keepNext/>
      <w:keepLines/>
      <w:spacing w:before="40" w:after="120" w:line="240"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1BBA"/>
    <w:pPr>
      <w:keepNext/>
      <w:keepLines/>
      <w:spacing w:before="40" w:after="120" w:line="240"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61BBA"/>
    <w:pPr>
      <w:keepNext/>
      <w:keepLines/>
      <w:spacing w:before="40" w:after="12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1BBA"/>
    <w:pPr>
      <w:keepNext/>
      <w:keepLines/>
      <w:spacing w:before="40" w:after="12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D76CA4"/>
    <w:rPr>
      <w:rFonts w:ascii="Calibri" w:eastAsiaTheme="minorEastAsia" w:hAnsi="Calibri" w:cstheme="minorBidi"/>
      <w:bCs/>
      <w:color w:val="006642"/>
      <w:sz w:val="56"/>
      <w:szCs w:val="28"/>
      <w:lang w:eastAsia="ja-JP"/>
    </w:rPr>
  </w:style>
  <w:style w:type="character" w:customStyle="1" w:styleId="Heading3Char">
    <w:name w:val="Heading 3 Char"/>
    <w:basedOn w:val="DefaultParagraphFont"/>
    <w:link w:val="Heading3"/>
    <w:uiPriority w:val="4"/>
    <w:rsid w:val="00D76CA4"/>
    <w:rPr>
      <w:rFonts w:ascii="Calibri" w:eastAsia="Times New Roman" w:hAnsi="Calibri"/>
      <w:b/>
      <w:bCs/>
      <w:color w:val="006642"/>
      <w:sz w:val="36"/>
      <w:szCs w:val="24"/>
      <w:lang w:eastAsia="en-US"/>
    </w:rPr>
  </w:style>
  <w:style w:type="character" w:customStyle="1" w:styleId="Heading4Char">
    <w:name w:val="Heading 4 Char"/>
    <w:basedOn w:val="DefaultParagraphFont"/>
    <w:link w:val="Heading4"/>
    <w:uiPriority w:val="5"/>
    <w:rsid w:val="00D76CA4"/>
    <w:rPr>
      <w:rFonts w:ascii="Calibri" w:eastAsia="Times New Roman" w:hAnsi="Calibri"/>
      <w:b/>
      <w:bCs/>
      <w:color w:val="006642"/>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0">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0"/>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0"/>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34"/>
    <w:unhideWhenUsed/>
    <w:pPr>
      <w:spacing w:after="60" w:line="264" w:lineRule="auto"/>
    </w:pPr>
    <w:rPr>
      <w:sz w:val="20"/>
      <w:szCs w:val="20"/>
    </w:rPr>
  </w:style>
  <w:style w:type="character" w:customStyle="1" w:styleId="FootnoteTextChar">
    <w:name w:val="Footnote Text Char"/>
    <w:basedOn w:val="DefaultParagraphFont"/>
    <w:link w:val="FootnoteText"/>
    <w:uiPriority w:val="34"/>
    <w:rPr>
      <w:rFonts w:eastAsiaTheme="minorHAnsi" w:cstheme="minorBidi"/>
      <w:lang w:eastAsia="en-US"/>
    </w:rPr>
  </w:style>
  <w:style w:type="character" w:styleId="FootnoteReference">
    <w:name w:val="footnote reference"/>
    <w:basedOn w:val="DefaultParagraphFont"/>
    <w:uiPriority w:val="34"/>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customStyle="1" w:styleId="Tabletext">
    <w:name w:val="Table text"/>
    <w:basedOn w:val="Normal"/>
    <w:next w:val="Normal"/>
    <w:autoRedefine/>
    <w:uiPriority w:val="9"/>
    <w:qFormat/>
    <w:rsid w:val="00C655E2"/>
    <w:pPr>
      <w:numPr>
        <w:numId w:val="31"/>
      </w:numPr>
      <w:spacing w:before="120" w:after="120" w:line="259" w:lineRule="auto"/>
    </w:pPr>
    <w:rPr>
      <w:rFonts w:ascii="Arial" w:eastAsia="Calibri" w:hAnsi="Arial" w:cs="Times New Roman"/>
    </w:rPr>
  </w:style>
  <w:style w:type="paragraph" w:styleId="Revision">
    <w:name w:val="Revision"/>
    <w:hidden/>
    <w:uiPriority w:val="99"/>
    <w:semiHidden/>
    <w:rsid w:val="00284390"/>
    <w:rPr>
      <w:rFonts w:eastAsiaTheme="minorHAnsi" w:cstheme="minorBidi"/>
      <w:sz w:val="22"/>
      <w:szCs w:val="22"/>
      <w:lang w:eastAsia="en-US"/>
    </w:rPr>
  </w:style>
  <w:style w:type="paragraph" w:customStyle="1" w:styleId="References">
    <w:name w:val="References"/>
    <w:basedOn w:val="BodyText"/>
    <w:uiPriority w:val="24"/>
    <w:rsid w:val="00941C50"/>
    <w:pPr>
      <w:keepLines/>
      <w:numPr>
        <w:numId w:val="36"/>
      </w:numPr>
      <w:tabs>
        <w:tab w:val="num" w:pos="1209"/>
      </w:tabs>
      <w:spacing w:before="120" w:line="240" w:lineRule="auto"/>
      <w:ind w:left="0" w:firstLine="0"/>
    </w:pPr>
    <w:rPr>
      <w:rFonts w:ascii="Arial" w:eastAsia="Times New Roman" w:hAnsi="Arial" w:cs="Times New Roman"/>
      <w:lang w:eastAsia="en-AU"/>
    </w:rPr>
  </w:style>
  <w:style w:type="paragraph" w:styleId="BodyText">
    <w:name w:val="Body Text"/>
    <w:basedOn w:val="Normal"/>
    <w:link w:val="BodyTextChar"/>
    <w:uiPriority w:val="99"/>
    <w:unhideWhenUsed/>
    <w:rsid w:val="00941C50"/>
    <w:pPr>
      <w:spacing w:after="120"/>
    </w:pPr>
  </w:style>
  <w:style w:type="character" w:customStyle="1" w:styleId="BodyTextChar">
    <w:name w:val="Body Text Char"/>
    <w:basedOn w:val="DefaultParagraphFont"/>
    <w:link w:val="BodyText"/>
    <w:uiPriority w:val="99"/>
    <w:rsid w:val="00941C50"/>
    <w:rPr>
      <w:rFonts w:eastAsiaTheme="minorHAnsi" w:cstheme="minorBidi"/>
      <w:sz w:val="22"/>
      <w:szCs w:val="22"/>
      <w:lang w:eastAsia="en-US"/>
    </w:rPr>
  </w:style>
  <w:style w:type="paragraph" w:customStyle="1" w:styleId="Note">
    <w:name w:val="Note"/>
    <w:basedOn w:val="Normal"/>
    <w:uiPriority w:val="24"/>
    <w:qFormat/>
    <w:rsid w:val="00567B7F"/>
    <w:pPr>
      <w:spacing w:before="60" w:after="60" w:line="240" w:lineRule="auto"/>
      <w:ind w:right="284"/>
    </w:pPr>
    <w:rPr>
      <w:rFonts w:ascii="Arial" w:hAnsi="Arial"/>
      <w:color w:val="000000" w:themeColor="text1"/>
      <w:sz w:val="18"/>
    </w:rPr>
  </w:style>
  <w:style w:type="character" w:customStyle="1" w:styleId="Heading6Char">
    <w:name w:val="Heading 6 Char"/>
    <w:basedOn w:val="DefaultParagraphFont"/>
    <w:link w:val="Heading6"/>
    <w:uiPriority w:val="9"/>
    <w:semiHidden/>
    <w:rsid w:val="00661BBA"/>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661BBA"/>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661BB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61BBA"/>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link w:val="ListParagraphChar"/>
    <w:uiPriority w:val="34"/>
    <w:qFormat/>
    <w:rsid w:val="00F875E3"/>
    <w:pPr>
      <w:spacing w:before="120" w:after="120" w:line="240" w:lineRule="auto"/>
      <w:ind w:left="720"/>
      <w:contextualSpacing/>
    </w:pPr>
    <w:rPr>
      <w:rFonts w:ascii="Arial" w:hAnsi="Arial"/>
      <w:color w:val="000000" w:themeColor="text1"/>
    </w:rPr>
  </w:style>
  <w:style w:type="character" w:customStyle="1" w:styleId="ListParagraphChar">
    <w:name w:val="List Paragraph Char"/>
    <w:basedOn w:val="DefaultParagraphFont"/>
    <w:link w:val="ListParagraph"/>
    <w:uiPriority w:val="34"/>
    <w:rsid w:val="00F875E3"/>
    <w:rPr>
      <w:rFonts w:ascii="Arial" w:eastAsiaTheme="minorHAnsi" w:hAnsi="Arial" w:cstheme="minorBidi"/>
      <w:color w:val="000000" w:themeColor="text1"/>
      <w:sz w:val="22"/>
      <w:szCs w:val="22"/>
      <w:lang w:eastAsia="en-US"/>
    </w:rPr>
  </w:style>
  <w:style w:type="paragraph" w:customStyle="1" w:styleId="paragraph">
    <w:name w:val="paragraph"/>
    <w:basedOn w:val="Normal"/>
    <w:rsid w:val="001801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80128"/>
  </w:style>
  <w:style w:type="character" w:customStyle="1" w:styleId="eop">
    <w:name w:val="eop"/>
    <w:basedOn w:val="DefaultParagraphFont"/>
    <w:rsid w:val="0018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71087192">
      <w:bodyDiv w:val="1"/>
      <w:marLeft w:val="0"/>
      <w:marRight w:val="0"/>
      <w:marTop w:val="0"/>
      <w:marBottom w:val="0"/>
      <w:divBdr>
        <w:top w:val="none" w:sz="0" w:space="0" w:color="auto"/>
        <w:left w:val="none" w:sz="0" w:space="0" w:color="auto"/>
        <w:bottom w:val="none" w:sz="0" w:space="0" w:color="auto"/>
        <w:right w:val="none" w:sz="0" w:space="0" w:color="auto"/>
      </w:divBdr>
      <w:divsChild>
        <w:div w:id="660550052">
          <w:marLeft w:val="0"/>
          <w:marRight w:val="0"/>
          <w:marTop w:val="0"/>
          <w:marBottom w:val="0"/>
          <w:divBdr>
            <w:top w:val="none" w:sz="0" w:space="0" w:color="auto"/>
            <w:left w:val="none" w:sz="0" w:space="0" w:color="auto"/>
            <w:bottom w:val="none" w:sz="0" w:space="0" w:color="auto"/>
            <w:right w:val="none" w:sz="0" w:space="0" w:color="auto"/>
          </w:divBdr>
        </w:div>
        <w:div w:id="2138209906">
          <w:marLeft w:val="0"/>
          <w:marRight w:val="0"/>
          <w:marTop w:val="0"/>
          <w:marBottom w:val="0"/>
          <w:divBdr>
            <w:top w:val="none" w:sz="0" w:space="0" w:color="auto"/>
            <w:left w:val="none" w:sz="0" w:space="0" w:color="auto"/>
            <w:bottom w:val="none" w:sz="0" w:space="0" w:color="auto"/>
            <w:right w:val="none" w:sz="0" w:space="0" w:color="auto"/>
          </w:divBdr>
        </w:div>
        <w:div w:id="407389962">
          <w:marLeft w:val="0"/>
          <w:marRight w:val="0"/>
          <w:marTop w:val="0"/>
          <w:marBottom w:val="0"/>
          <w:divBdr>
            <w:top w:val="none" w:sz="0" w:space="0" w:color="auto"/>
            <w:left w:val="none" w:sz="0" w:space="0" w:color="auto"/>
            <w:bottom w:val="none" w:sz="0" w:space="0" w:color="auto"/>
            <w:right w:val="none" w:sz="0" w:space="0" w:color="auto"/>
          </w:divBdr>
        </w:div>
        <w:div w:id="1570572665">
          <w:marLeft w:val="0"/>
          <w:marRight w:val="0"/>
          <w:marTop w:val="0"/>
          <w:marBottom w:val="0"/>
          <w:divBdr>
            <w:top w:val="none" w:sz="0" w:space="0" w:color="auto"/>
            <w:left w:val="none" w:sz="0" w:space="0" w:color="auto"/>
            <w:bottom w:val="none" w:sz="0" w:space="0" w:color="auto"/>
            <w:right w:val="none" w:sz="0" w:space="0" w:color="auto"/>
          </w:divBdr>
        </w:div>
        <w:div w:id="1715889046">
          <w:marLeft w:val="0"/>
          <w:marRight w:val="0"/>
          <w:marTop w:val="0"/>
          <w:marBottom w:val="0"/>
          <w:divBdr>
            <w:top w:val="none" w:sz="0" w:space="0" w:color="auto"/>
            <w:left w:val="none" w:sz="0" w:space="0" w:color="auto"/>
            <w:bottom w:val="none" w:sz="0" w:space="0" w:color="auto"/>
            <w:right w:val="none" w:sz="0" w:space="0" w:color="auto"/>
          </w:divBdr>
        </w:div>
        <w:div w:id="406995996">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legalcode" TargetMode="External"/><Relationship Id="rId26" Type="http://schemas.openxmlformats.org/officeDocument/2006/relationships/hyperlink" Target="https://ausgovenvironment-my.sharepoint.com/personal/bri_gordon_environment_gov_au/Documents/HomeDrive/Documents/New%20Advice%20Section/HH%20soil%20GV%20for%20PFOS%20PFHxS%20PFOA%20_%20AV_JEB-JB.docx" TargetMode="External"/><Relationship Id="rId21" Type="http://schemas.openxmlformats.org/officeDocument/2006/relationships/hyperlink" Target="https://www.dcceew.gov.au/publications"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usgovenvironment-my.sharepoint.com/personal/bri_gordon_environment_gov_au/Documents/HomeDrive/Documents/New%20Advice%20Section/HH%20soil%20GV%20for%20PFOS%20PFHxS%20PFOA%20_%20AV_JEB-JB.docx" TargetMode="External"/><Relationship Id="rId33"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http://nepc.gov.au/nepms/assessment-site-contamination/toolbo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www.nepc.gov.au/nepms/assessment-site-contamin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pyright@dcceew.gov.au" TargetMode="External"/><Relationship Id="rId31" Type="http://schemas.openxmlformats.org/officeDocument/2006/relationships/hyperlink" Target="https://www.environment.nsw.gov.au/-/media/OEH/Corporate-Site/Documents/Land-and-soil/human-health-soil-screening-criteria-1902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cceew.gov.au/" TargetMode="External"/><Relationship Id="rId27" Type="http://schemas.openxmlformats.org/officeDocument/2006/relationships/hyperlink" Target="https://ausgovenvironment-my.sharepoint.com/personal/bri_gordon_environment_gov_au/Documents/HomeDrive/Documents/New%20Advice%20Section/HH%20soil%20GV%20for%20PFOS%20PFHxS%20PFOA%20_%20AV_JEB-JB.docx" TargetMode="External"/><Relationship Id="rId30" Type="http://schemas.openxmlformats.org/officeDocument/2006/relationships/image" Target="media/image5.emf"/><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946\AppData\Local\Microsoft\Windows\INetCache\Content.Outlook\3OI91J42\PFAS_NEMP_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0D44D33A62C74ABB6038F4CFD60857" ma:contentTypeVersion="4" ma:contentTypeDescription="Create a new document." ma:contentTypeScope="" ma:versionID="554d012ab7d223a1f75ac7409ea374d8">
  <xsd:schema xmlns:xsd="http://www.w3.org/2001/XMLSchema" xmlns:xs="http://www.w3.org/2001/XMLSchema" xmlns:p="http://schemas.microsoft.com/office/2006/metadata/properties" xmlns:ns2="5699c751-b4eb-460c-89c2-9517fa8ca650" xmlns:ns3="81c01dc6-2c49-4730-b140-874c95cac377" xmlns:ns4="569a9a18-66eb-4d7f-87f9-e951ff39fbe1" xmlns:ns5="672e4d61-b0e1-4512-a2d7-8a084ba9087f" targetNamespace="http://schemas.microsoft.com/office/2006/metadata/properties" ma:root="true" ma:fieldsID="5a2202afbda1dba21b3e372fc505dfe7" ns2:_="" ns3:_="" ns4:_="" ns5:_="">
    <xsd:import namespace="5699c751-b4eb-460c-89c2-9517fa8ca650"/>
    <xsd:import namespace="81c01dc6-2c49-4730-b140-874c95cac377"/>
    <xsd:import namespace="569a9a18-66eb-4d7f-87f9-e951ff39fbe1"/>
    <xsd:import namespace="672e4d61-b0e1-4512-a2d7-8a084ba9087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c751-b4eb-460c-89c2-9517fa8ca650"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b569bcb-f349-4ecf-aaa9-ef6a59a9f208}" ma:internalName="TaxCatchAll" ma:showField="CatchAllData" ma:web="f4d76bd7-4fe2-47c1-b726-df5f65aaa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9a9a18-66eb-4d7f-87f9-e951ff39f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e4d61-b0e1-4512-a2d7-8a084ba908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699c751-b4eb-460c-89c2-9517fa8ca6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C8991-49EB-403E-9611-0C6D78DA6525}"/>
</file>

<file path=customXml/itemProps2.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72e4d61-b0e1-4512-a2d7-8a084ba9087f"/>
    <ds:schemaRef ds:uri="569a9a18-66eb-4d7f-87f9-e951ff39fbe1"/>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PFAS_NEMP_template (002)</Template>
  <TotalTime>2</TotalTime>
  <Pages>24</Pages>
  <Words>7196</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48118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Janine Buist</dc:creator>
  <cp:lastModifiedBy>Harte, Sean</cp:lastModifiedBy>
  <cp:revision>3</cp:revision>
  <cp:lastPrinted>2013-10-18T05:59:00Z</cp:lastPrinted>
  <dcterms:created xsi:type="dcterms:W3CDTF">2022-09-13T00:19:00Z</dcterms:created>
  <dcterms:modified xsi:type="dcterms:W3CDTF">2022-09-13T02:12:00Z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0x010100EE0D44D33A62C74ABB6038F4CFD60857</vt:lpwstr>
  </property>
  <property fmtid="{D5CDD505-2E9C-101B-9397-08002B2CF9AE}" pid="3" name="MediaServiceImageTags">
    <vt:lpwstr/>
  </property>
</Properties>
</file>